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455" w:rsidRDefault="00AD6455" w:rsidP="0096093E">
      <w:pPr>
        <w:jc w:val="both"/>
        <w:rPr>
          <w:rFonts w:cs="Arial"/>
        </w:rPr>
      </w:pPr>
      <w:bookmarkStart w:id="0" w:name="_GoBack"/>
      <w:bookmarkEnd w:id="0"/>
    </w:p>
    <w:p w:rsidR="0065649E" w:rsidRDefault="0065649E" w:rsidP="0096093E">
      <w:pPr>
        <w:jc w:val="both"/>
        <w:rPr>
          <w:rFonts w:cs="Arial"/>
        </w:rPr>
      </w:pPr>
    </w:p>
    <w:p w:rsidR="00963BE0" w:rsidRDefault="00AD6455" w:rsidP="0096093E">
      <w:pPr>
        <w:jc w:val="both"/>
        <w:rPr>
          <w:rFonts w:cs="Arial"/>
        </w:rPr>
      </w:pPr>
      <w:r>
        <w:rPr>
          <w:rFonts w:cs="Arial"/>
        </w:rPr>
        <w:t>Dear Ian</w:t>
      </w:r>
    </w:p>
    <w:p w:rsidR="00963BE0" w:rsidRDefault="00963BE0" w:rsidP="0096093E">
      <w:pPr>
        <w:jc w:val="both"/>
        <w:rPr>
          <w:rFonts w:cs="Arial"/>
        </w:rPr>
      </w:pPr>
    </w:p>
    <w:p w:rsidR="00AD6455" w:rsidRDefault="00AD6455" w:rsidP="00AD6455">
      <w:pPr>
        <w:jc w:val="both"/>
        <w:rPr>
          <w:rFonts w:ascii="Calibri" w:hAnsi="Calibri"/>
          <w:color w:val="auto"/>
        </w:rPr>
      </w:pPr>
      <w:r>
        <w:t>We discussed at PCF yesterday concerns which have been raised with you about individual posts presently covered by agency staff which have not been included on the list of posts available for newly qualified officers to pitch for in the present exercise to place the first cohort of newly qualified staff.  There are around 350 posts in the present list with around 250 staff pitching for them and it is the case that some posts presently covered by agency staff are not included.</w:t>
      </w:r>
    </w:p>
    <w:p w:rsidR="00AD6455" w:rsidRDefault="00AD6455" w:rsidP="00AD6455">
      <w:pPr>
        <w:jc w:val="both"/>
      </w:pPr>
    </w:p>
    <w:p w:rsidR="00FC0E89" w:rsidRDefault="00AD6455" w:rsidP="00FC0E89">
      <w:pPr>
        <w:jc w:val="both"/>
      </w:pPr>
      <w:r>
        <w:t>I don’t know the circumstances of the individual post(s) which have generated the concern but we have taken the following approach:</w:t>
      </w:r>
    </w:p>
    <w:p w:rsidR="00AD6455" w:rsidRDefault="00AD6455" w:rsidP="00FC0E89">
      <w:pPr>
        <w:pStyle w:val="ListParagraph"/>
        <w:numPr>
          <w:ilvl w:val="0"/>
          <w:numId w:val="9"/>
        </w:numPr>
        <w:jc w:val="both"/>
      </w:pPr>
      <w:r>
        <w:t>Deputy Directors Probation have looked at all of their currently vacant posts and prioritised for filling at this stage, those which are the most business critical now</w:t>
      </w:r>
    </w:p>
    <w:p w:rsidR="00AD6455" w:rsidRDefault="00AD6455" w:rsidP="00FC0E89">
      <w:pPr>
        <w:pStyle w:val="ListParagraph"/>
        <w:numPr>
          <w:ilvl w:val="0"/>
          <w:numId w:val="9"/>
        </w:numPr>
        <w:jc w:val="both"/>
      </w:pPr>
      <w:proofErr w:type="gramStart"/>
      <w:r>
        <w:t>in</w:t>
      </w:r>
      <w:proofErr w:type="gramEnd"/>
      <w:r>
        <w:t xml:space="preserve"> doing so they have not included posts where an assessment has been made that there may potentially be restructuring or other displacements which might place a doubt over the particular post.</w:t>
      </w:r>
    </w:p>
    <w:p w:rsidR="00AD6455" w:rsidRDefault="00AD6455" w:rsidP="00AD6455">
      <w:pPr>
        <w:jc w:val="both"/>
      </w:pPr>
    </w:p>
    <w:p w:rsidR="00AD6455" w:rsidRDefault="00AD6455" w:rsidP="00AD6455">
      <w:pPr>
        <w:jc w:val="both"/>
      </w:pPr>
      <w:r>
        <w:t>As I explained yesterday, this has been done pragmatically and I would not want anybody to read anything into why some posts are on the list and some are not.  As follow on exercises for cohorts 2 and 3 take place we expect other vacant posts to be included and decisions on which are to be filled and when will be taken in light of growing clarity about workloads and the impact of changes arising from E3 (on which as you will appreciate we still have work to do with yourselves before we are collectively clear about what this will mean for individual posts).  To repeat too what I said yesterday, it is absolutely my intention that we will reduce numbers of agency staff as a result of the placements being worked on now and then further with cohorts 2 and 3.  My end-state intention is that our staffing profile should not rely on agency other than at the margins – something I know you support.</w:t>
      </w:r>
    </w:p>
    <w:p w:rsidR="00AD6455" w:rsidRDefault="00AD6455" w:rsidP="00AD6455">
      <w:pPr>
        <w:jc w:val="both"/>
      </w:pPr>
    </w:p>
    <w:p w:rsidR="00AD6455" w:rsidRDefault="00AD6455" w:rsidP="00AD6455">
      <w:pPr>
        <w:jc w:val="both"/>
      </w:pPr>
      <w:r>
        <w:t>I clarified too yesterday that the present PQF staff have PSO contracts and if not placed as a PO, they will have the option of employment at PSO level.  Those not placed in this round will be able to apply for posts in the future rounds.  They should not though bank on a particular post becoming available as normal staff deployment arrangements may result in these being filled in other ways or because of other changes such as E3, it is possible that some posts presently graded at PO level may move or change location/scope.  As I hope I managed to convey yesterday, we are seeking to manage what is a complex scenario fairly and openly, whilst obviously also meeting operational priorities.</w:t>
      </w:r>
    </w:p>
    <w:p w:rsidR="0065649E" w:rsidRDefault="0065649E" w:rsidP="00AD6455">
      <w:pPr>
        <w:jc w:val="both"/>
      </w:pPr>
    </w:p>
    <w:p w:rsidR="001318B1" w:rsidRDefault="001318B1" w:rsidP="00BC6B7B">
      <w:pPr>
        <w:spacing w:line="360" w:lineRule="auto"/>
        <w:jc w:val="both"/>
        <w:rPr>
          <w:rFonts w:cs="Arial"/>
        </w:rPr>
      </w:pPr>
    </w:p>
    <w:p w:rsidR="00925958" w:rsidRDefault="00925958" w:rsidP="00BC6B7B">
      <w:pPr>
        <w:spacing w:line="360" w:lineRule="auto"/>
        <w:jc w:val="both"/>
        <w:rPr>
          <w:rFonts w:cs="Arial"/>
        </w:rPr>
      </w:pPr>
      <w:r>
        <w:rPr>
          <w:noProof/>
        </w:rPr>
        <w:drawing>
          <wp:inline distT="0" distB="0" distL="0" distR="0" wp14:anchorId="59CA6803" wp14:editId="45051F6B">
            <wp:extent cx="1428750" cy="476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476250"/>
                    </a:xfrm>
                    <a:prstGeom prst="rect">
                      <a:avLst/>
                    </a:prstGeom>
                    <a:noFill/>
                    <a:ln>
                      <a:noFill/>
                    </a:ln>
                  </pic:spPr>
                </pic:pic>
              </a:graphicData>
            </a:graphic>
          </wp:inline>
        </w:drawing>
      </w:r>
    </w:p>
    <w:p w:rsidR="00BC6B7B" w:rsidRPr="00BC6B7B" w:rsidRDefault="00BC6B7B" w:rsidP="00BC6B7B">
      <w:pPr>
        <w:spacing w:line="360" w:lineRule="auto"/>
        <w:jc w:val="both"/>
        <w:rPr>
          <w:rFonts w:cs="Arial"/>
        </w:rPr>
      </w:pPr>
      <w:r w:rsidRPr="00BC6B7B">
        <w:rPr>
          <w:rFonts w:cs="Arial"/>
        </w:rPr>
        <w:t>Colin Allars</w:t>
      </w:r>
    </w:p>
    <w:p w:rsidR="00FC0E89" w:rsidRPr="00FC0E89" w:rsidRDefault="00BC6B7B" w:rsidP="00FC0E89">
      <w:pPr>
        <w:spacing w:line="360" w:lineRule="auto"/>
        <w:jc w:val="both"/>
      </w:pPr>
      <w:r w:rsidRPr="00BC6B7B">
        <w:rPr>
          <w:rFonts w:cs="Arial"/>
        </w:rPr>
        <w:t xml:space="preserve">Director Probation </w:t>
      </w:r>
    </w:p>
    <w:p w:rsidR="00BC6B7B" w:rsidRDefault="00BC6B7B" w:rsidP="00BC6B7B">
      <w:pPr>
        <w:rPr>
          <w:rFonts w:cs="Arial"/>
        </w:rPr>
      </w:pPr>
    </w:p>
    <w:p w:rsidR="007D6BDF" w:rsidRDefault="007D6BDF" w:rsidP="007D6BDF">
      <w:pPr>
        <w:rPr>
          <w:rFonts w:cs="Arial"/>
        </w:rPr>
      </w:pPr>
    </w:p>
    <w:p w:rsidR="00BC6B7B" w:rsidRPr="003A7108" w:rsidRDefault="00BC6B7B" w:rsidP="00BC6B7B">
      <w:pPr>
        <w:rPr>
          <w:rFonts w:cs="Arial"/>
        </w:rPr>
      </w:pPr>
    </w:p>
    <w:p w:rsidR="00BC6B7B" w:rsidRDefault="00BC6B7B" w:rsidP="00BC6B7B">
      <w:pPr>
        <w:jc w:val="right"/>
        <w:rPr>
          <w:rFonts w:cs="Arial"/>
          <w:b/>
          <w:caps/>
        </w:rPr>
      </w:pPr>
    </w:p>
    <w:p w:rsidR="00BC6B7B" w:rsidRDefault="00BC6B7B" w:rsidP="00BC6B7B">
      <w:pPr>
        <w:jc w:val="right"/>
        <w:rPr>
          <w:rFonts w:cs="Arial"/>
          <w:b/>
          <w:caps/>
        </w:rPr>
      </w:pPr>
    </w:p>
    <w:p w:rsidR="00BC6B7B" w:rsidRDefault="00BC6B7B" w:rsidP="00BC6B7B">
      <w:pPr>
        <w:jc w:val="right"/>
        <w:rPr>
          <w:rFonts w:cs="Arial"/>
          <w:b/>
          <w:caps/>
        </w:rPr>
      </w:pPr>
    </w:p>
    <w:p w:rsidR="00BC6B7B" w:rsidRDefault="00BC6B7B" w:rsidP="00BC6B7B">
      <w:pPr>
        <w:jc w:val="right"/>
        <w:rPr>
          <w:rFonts w:cs="Arial"/>
          <w:b/>
          <w:caps/>
        </w:rPr>
      </w:pPr>
    </w:p>
    <w:p w:rsidR="00BC6B7B" w:rsidRDefault="00BC6B7B" w:rsidP="00BC6B7B">
      <w:pPr>
        <w:jc w:val="right"/>
        <w:rPr>
          <w:rFonts w:cs="Arial"/>
          <w:b/>
          <w:caps/>
        </w:rPr>
      </w:pPr>
    </w:p>
    <w:p w:rsidR="00BC6B7B" w:rsidRDefault="00BC6B7B" w:rsidP="00BC6B7B">
      <w:pPr>
        <w:jc w:val="right"/>
        <w:rPr>
          <w:rFonts w:cs="Arial"/>
          <w:b/>
          <w:caps/>
        </w:rPr>
      </w:pPr>
    </w:p>
    <w:p w:rsidR="00BC6B7B" w:rsidRDefault="00BC6B7B" w:rsidP="00BC6B7B">
      <w:pPr>
        <w:jc w:val="right"/>
        <w:rPr>
          <w:rFonts w:cs="Arial"/>
          <w:b/>
          <w:caps/>
        </w:rPr>
      </w:pPr>
    </w:p>
    <w:p w:rsidR="00BC6B7B" w:rsidRDefault="00BC6B7B" w:rsidP="00BC6B7B">
      <w:pPr>
        <w:jc w:val="right"/>
        <w:rPr>
          <w:rFonts w:cs="Arial"/>
          <w:b/>
          <w:caps/>
        </w:rPr>
      </w:pPr>
    </w:p>
    <w:p w:rsidR="00BC6B7B" w:rsidRDefault="00BC6B7B" w:rsidP="00BC6B7B">
      <w:pPr>
        <w:jc w:val="right"/>
        <w:rPr>
          <w:rFonts w:cs="Arial"/>
          <w:b/>
          <w:caps/>
        </w:rPr>
      </w:pPr>
    </w:p>
    <w:sectPr w:rsidR="00BC6B7B" w:rsidSect="0096093E">
      <w:headerReference w:type="first" r:id="rId10"/>
      <w:pgSz w:w="11906" w:h="16838" w:code="9"/>
      <w:pgMar w:top="993" w:right="1558" w:bottom="1560" w:left="1418" w:header="851"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8C0" w:rsidRDefault="003768C0">
      <w:r>
        <w:separator/>
      </w:r>
    </w:p>
  </w:endnote>
  <w:endnote w:type="continuationSeparator" w:id="0">
    <w:p w:rsidR="003768C0" w:rsidRDefault="00376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8C0" w:rsidRDefault="003768C0">
      <w:r>
        <w:separator/>
      </w:r>
    </w:p>
  </w:footnote>
  <w:footnote w:type="continuationSeparator" w:id="0">
    <w:p w:rsidR="003768C0" w:rsidRDefault="003768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4E5" w:rsidRDefault="004D14E5" w:rsidP="00BD6364">
    <w:pPr>
      <w:pStyle w:val="NPSAddresstext"/>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2B37DC0"/>
    <w:multiLevelType w:val="hybridMultilevel"/>
    <w:tmpl w:val="E86E7B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7F66332"/>
    <w:multiLevelType w:val="hybridMultilevel"/>
    <w:tmpl w:val="80329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622BC1"/>
    <w:multiLevelType w:val="singleLevel"/>
    <w:tmpl w:val="3DBCD962"/>
    <w:lvl w:ilvl="0">
      <w:start w:val="1"/>
      <w:numFmt w:val="bullet"/>
      <w:pStyle w:val="Bulletundernumberedtext"/>
      <w:lvlText w:val=""/>
      <w:lvlJc w:val="left"/>
      <w:pPr>
        <w:tabs>
          <w:tab w:val="num" w:pos="1066"/>
        </w:tabs>
        <w:ind w:left="1066" w:hanging="357"/>
      </w:pPr>
      <w:rPr>
        <w:rFonts w:ascii="Symbol" w:hAnsi="Symbol" w:hint="default"/>
        <w:sz w:val="24"/>
      </w:rPr>
    </w:lvl>
  </w:abstractNum>
  <w:abstractNum w:abstractNumId="4">
    <w:nsid w:val="35EE289B"/>
    <w:multiLevelType w:val="hybridMultilevel"/>
    <w:tmpl w:val="F7D446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79F558C"/>
    <w:multiLevelType w:val="hybridMultilevel"/>
    <w:tmpl w:val="3E48C850"/>
    <w:lvl w:ilvl="0" w:tplc="0FB86C6A">
      <w:start w:val="1"/>
      <w:numFmt w:val="bullet"/>
      <w:pStyle w:val="Heading1"/>
      <w:lvlText w:val=""/>
      <w:lvlJc w:val="left"/>
      <w:pPr>
        <w:tabs>
          <w:tab w:val="num" w:pos="720"/>
        </w:tabs>
        <w:ind w:left="720" w:hanging="360"/>
      </w:pPr>
      <w:rPr>
        <w:rFonts w:ascii="Wingdings" w:hAnsi="Wingdings" w:hint="default"/>
      </w:rPr>
    </w:lvl>
    <w:lvl w:ilvl="1" w:tplc="A6989D4C" w:tentative="1">
      <w:start w:val="1"/>
      <w:numFmt w:val="bullet"/>
      <w:lvlText w:val="o"/>
      <w:lvlJc w:val="left"/>
      <w:pPr>
        <w:tabs>
          <w:tab w:val="num" w:pos="1440"/>
        </w:tabs>
        <w:ind w:left="1440" w:hanging="360"/>
      </w:pPr>
      <w:rPr>
        <w:rFonts w:ascii="Courier New" w:hAnsi="Courier New" w:hint="default"/>
      </w:rPr>
    </w:lvl>
    <w:lvl w:ilvl="2" w:tplc="D666C00A" w:tentative="1">
      <w:start w:val="1"/>
      <w:numFmt w:val="bullet"/>
      <w:lvlText w:val=""/>
      <w:lvlJc w:val="left"/>
      <w:pPr>
        <w:tabs>
          <w:tab w:val="num" w:pos="2160"/>
        </w:tabs>
        <w:ind w:left="2160" w:hanging="360"/>
      </w:pPr>
      <w:rPr>
        <w:rFonts w:ascii="Wingdings" w:hAnsi="Wingdings" w:hint="default"/>
      </w:rPr>
    </w:lvl>
    <w:lvl w:ilvl="3" w:tplc="FAB6DFBC" w:tentative="1">
      <w:start w:val="1"/>
      <w:numFmt w:val="bullet"/>
      <w:lvlText w:val=""/>
      <w:lvlJc w:val="left"/>
      <w:pPr>
        <w:tabs>
          <w:tab w:val="num" w:pos="2880"/>
        </w:tabs>
        <w:ind w:left="2880" w:hanging="360"/>
      </w:pPr>
      <w:rPr>
        <w:rFonts w:ascii="Symbol" w:hAnsi="Symbol" w:hint="default"/>
      </w:rPr>
    </w:lvl>
    <w:lvl w:ilvl="4" w:tplc="BF64D4BC" w:tentative="1">
      <w:start w:val="1"/>
      <w:numFmt w:val="bullet"/>
      <w:lvlText w:val="o"/>
      <w:lvlJc w:val="left"/>
      <w:pPr>
        <w:tabs>
          <w:tab w:val="num" w:pos="3600"/>
        </w:tabs>
        <w:ind w:left="3600" w:hanging="360"/>
      </w:pPr>
      <w:rPr>
        <w:rFonts w:ascii="Courier New" w:hAnsi="Courier New" w:hint="default"/>
      </w:rPr>
    </w:lvl>
    <w:lvl w:ilvl="5" w:tplc="AF32A604" w:tentative="1">
      <w:start w:val="1"/>
      <w:numFmt w:val="bullet"/>
      <w:lvlText w:val=""/>
      <w:lvlJc w:val="left"/>
      <w:pPr>
        <w:tabs>
          <w:tab w:val="num" w:pos="4320"/>
        </w:tabs>
        <w:ind w:left="4320" w:hanging="360"/>
      </w:pPr>
      <w:rPr>
        <w:rFonts w:ascii="Wingdings" w:hAnsi="Wingdings" w:hint="default"/>
      </w:rPr>
    </w:lvl>
    <w:lvl w:ilvl="6" w:tplc="7FE632CC" w:tentative="1">
      <w:start w:val="1"/>
      <w:numFmt w:val="bullet"/>
      <w:lvlText w:val=""/>
      <w:lvlJc w:val="left"/>
      <w:pPr>
        <w:tabs>
          <w:tab w:val="num" w:pos="5040"/>
        </w:tabs>
        <w:ind w:left="5040" w:hanging="360"/>
      </w:pPr>
      <w:rPr>
        <w:rFonts w:ascii="Symbol" w:hAnsi="Symbol" w:hint="default"/>
      </w:rPr>
    </w:lvl>
    <w:lvl w:ilvl="7" w:tplc="3B2C64DA" w:tentative="1">
      <w:start w:val="1"/>
      <w:numFmt w:val="bullet"/>
      <w:lvlText w:val="o"/>
      <w:lvlJc w:val="left"/>
      <w:pPr>
        <w:tabs>
          <w:tab w:val="num" w:pos="5760"/>
        </w:tabs>
        <w:ind w:left="5760" w:hanging="360"/>
      </w:pPr>
      <w:rPr>
        <w:rFonts w:ascii="Courier New" w:hAnsi="Courier New" w:hint="default"/>
      </w:rPr>
    </w:lvl>
    <w:lvl w:ilvl="8" w:tplc="70980A5C" w:tentative="1">
      <w:start w:val="1"/>
      <w:numFmt w:val="bullet"/>
      <w:lvlText w:val=""/>
      <w:lvlJc w:val="left"/>
      <w:pPr>
        <w:tabs>
          <w:tab w:val="num" w:pos="6480"/>
        </w:tabs>
        <w:ind w:left="6480" w:hanging="360"/>
      </w:pPr>
      <w:rPr>
        <w:rFonts w:ascii="Wingdings" w:hAnsi="Wingdings" w:hint="default"/>
      </w:rPr>
    </w:lvl>
  </w:abstractNum>
  <w:abstractNum w:abstractNumId="6">
    <w:nsid w:val="6DE41341"/>
    <w:multiLevelType w:val="hybridMultilevel"/>
    <w:tmpl w:val="0ED0A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71686317"/>
    <w:multiLevelType w:val="hybridMultilevel"/>
    <w:tmpl w:val="55007A7C"/>
    <w:lvl w:ilvl="0" w:tplc="7BBC6606">
      <w:start w:val="1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D405C58"/>
    <w:multiLevelType w:val="hybridMultilevel"/>
    <w:tmpl w:val="54A0E204"/>
    <w:lvl w:ilvl="0" w:tplc="C95EA4D6">
      <w:start w:val="1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4"/>
  </w:num>
  <w:num w:numId="6">
    <w:abstractNumId w:val="0"/>
    <w:lvlOverride w:ilvl="0">
      <w:lvl w:ilvl="0">
        <w:start w:val="1"/>
        <w:numFmt w:val="bullet"/>
        <w:lvlText w:val=""/>
        <w:legacy w:legacy="1" w:legacySpace="120" w:legacyIndent="360"/>
        <w:lvlJc w:val="left"/>
        <w:pPr>
          <w:ind w:left="928" w:hanging="360"/>
        </w:pPr>
        <w:rPr>
          <w:rFonts w:ascii="Symbol" w:hAnsi="Symbol" w:hint="default"/>
        </w:rPr>
      </w:lvl>
    </w:lvlOverride>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630"/>
    <w:rsid w:val="00003847"/>
    <w:rsid w:val="00030F06"/>
    <w:rsid w:val="00041E75"/>
    <w:rsid w:val="000A2E4E"/>
    <w:rsid w:val="000A4960"/>
    <w:rsid w:val="000D52E2"/>
    <w:rsid w:val="000E2A6C"/>
    <w:rsid w:val="000F2BA5"/>
    <w:rsid w:val="00116172"/>
    <w:rsid w:val="0012559C"/>
    <w:rsid w:val="001318B1"/>
    <w:rsid w:val="001649CB"/>
    <w:rsid w:val="00181D1B"/>
    <w:rsid w:val="00200C00"/>
    <w:rsid w:val="00202805"/>
    <w:rsid w:val="002056F6"/>
    <w:rsid w:val="00205841"/>
    <w:rsid w:val="00214217"/>
    <w:rsid w:val="00235D98"/>
    <w:rsid w:val="00237815"/>
    <w:rsid w:val="00242653"/>
    <w:rsid w:val="00245A3B"/>
    <w:rsid w:val="002621FD"/>
    <w:rsid w:val="00273A61"/>
    <w:rsid w:val="00275974"/>
    <w:rsid w:val="00296C37"/>
    <w:rsid w:val="002C02E7"/>
    <w:rsid w:val="002E017A"/>
    <w:rsid w:val="00304630"/>
    <w:rsid w:val="003302B4"/>
    <w:rsid w:val="003438D0"/>
    <w:rsid w:val="003616AB"/>
    <w:rsid w:val="003768C0"/>
    <w:rsid w:val="0038415E"/>
    <w:rsid w:val="00385956"/>
    <w:rsid w:val="003A132F"/>
    <w:rsid w:val="003A74B7"/>
    <w:rsid w:val="003F73AC"/>
    <w:rsid w:val="00402559"/>
    <w:rsid w:val="00407367"/>
    <w:rsid w:val="0041623F"/>
    <w:rsid w:val="00432AEC"/>
    <w:rsid w:val="00432C58"/>
    <w:rsid w:val="0047644C"/>
    <w:rsid w:val="004B6CF5"/>
    <w:rsid w:val="004D14E5"/>
    <w:rsid w:val="004E097D"/>
    <w:rsid w:val="00571451"/>
    <w:rsid w:val="005733F9"/>
    <w:rsid w:val="005A7F4F"/>
    <w:rsid w:val="005F4EB1"/>
    <w:rsid w:val="00616B6C"/>
    <w:rsid w:val="00631F69"/>
    <w:rsid w:val="006324FC"/>
    <w:rsid w:val="006557CB"/>
    <w:rsid w:val="0065649E"/>
    <w:rsid w:val="006609B6"/>
    <w:rsid w:val="00686C60"/>
    <w:rsid w:val="006C3CA4"/>
    <w:rsid w:val="006C557D"/>
    <w:rsid w:val="00705502"/>
    <w:rsid w:val="00710E9E"/>
    <w:rsid w:val="00734508"/>
    <w:rsid w:val="007629AD"/>
    <w:rsid w:val="0077277C"/>
    <w:rsid w:val="007B753D"/>
    <w:rsid w:val="007D6BDF"/>
    <w:rsid w:val="007E3EAA"/>
    <w:rsid w:val="007E616D"/>
    <w:rsid w:val="0080553E"/>
    <w:rsid w:val="00810B06"/>
    <w:rsid w:val="008141F4"/>
    <w:rsid w:val="00850ED1"/>
    <w:rsid w:val="008536FE"/>
    <w:rsid w:val="00884B8C"/>
    <w:rsid w:val="008D726B"/>
    <w:rsid w:val="008F52C9"/>
    <w:rsid w:val="00913AA9"/>
    <w:rsid w:val="00916FAD"/>
    <w:rsid w:val="00925958"/>
    <w:rsid w:val="0096093E"/>
    <w:rsid w:val="00963BE0"/>
    <w:rsid w:val="00965746"/>
    <w:rsid w:val="00984DA4"/>
    <w:rsid w:val="009920D2"/>
    <w:rsid w:val="009D2C21"/>
    <w:rsid w:val="009E3A98"/>
    <w:rsid w:val="009F6801"/>
    <w:rsid w:val="00A16EA2"/>
    <w:rsid w:val="00A874FF"/>
    <w:rsid w:val="00AB3C4C"/>
    <w:rsid w:val="00AD626F"/>
    <w:rsid w:val="00AD6455"/>
    <w:rsid w:val="00B05909"/>
    <w:rsid w:val="00B607F6"/>
    <w:rsid w:val="00B63EA0"/>
    <w:rsid w:val="00BA3CE1"/>
    <w:rsid w:val="00BA546E"/>
    <w:rsid w:val="00BB2161"/>
    <w:rsid w:val="00BB54FE"/>
    <w:rsid w:val="00BC6B7B"/>
    <w:rsid w:val="00BD6364"/>
    <w:rsid w:val="00BE0597"/>
    <w:rsid w:val="00C57CB8"/>
    <w:rsid w:val="00CB383B"/>
    <w:rsid w:val="00CE0727"/>
    <w:rsid w:val="00CE6D73"/>
    <w:rsid w:val="00D30842"/>
    <w:rsid w:val="00D576F8"/>
    <w:rsid w:val="00D83E57"/>
    <w:rsid w:val="00DC5BBF"/>
    <w:rsid w:val="00E01C5C"/>
    <w:rsid w:val="00E27460"/>
    <w:rsid w:val="00E44082"/>
    <w:rsid w:val="00EA47B0"/>
    <w:rsid w:val="00F07F27"/>
    <w:rsid w:val="00F31B5F"/>
    <w:rsid w:val="00F327AC"/>
    <w:rsid w:val="00F46181"/>
    <w:rsid w:val="00F53EBF"/>
    <w:rsid w:val="00F7456F"/>
    <w:rsid w:val="00F84438"/>
    <w:rsid w:val="00FA1B71"/>
    <w:rsid w:val="00FA1D32"/>
    <w:rsid w:val="00FA4EE0"/>
    <w:rsid w:val="00FA4FB2"/>
    <w:rsid w:val="00FA6073"/>
    <w:rsid w:val="00FC0E89"/>
    <w:rsid w:val="00FF5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80" w:lineRule="atLeast"/>
    </w:pPr>
    <w:rPr>
      <w:rFonts w:ascii="Arial" w:hAnsi="Arial"/>
      <w:color w:val="000000"/>
    </w:rPr>
  </w:style>
  <w:style w:type="paragraph" w:styleId="Heading1">
    <w:name w:val="heading 1"/>
    <w:basedOn w:val="Normal"/>
    <w:next w:val="Normal"/>
    <w:qFormat/>
    <w:pPr>
      <w:keepNext/>
      <w:numPr>
        <w:numId w:val="1"/>
      </w:numPr>
      <w:spacing w:before="240" w:after="60"/>
      <w:outlineLvl w:val="0"/>
    </w:pPr>
    <w:rPr>
      <w:rFonts w:cs="Arial"/>
      <w:b/>
      <w:bCs/>
      <w:kern w:val="32"/>
      <w:sz w:val="32"/>
      <w:szCs w:val="32"/>
    </w:rPr>
  </w:style>
  <w:style w:type="paragraph" w:styleId="Heading3">
    <w:name w:val="heading 3"/>
    <w:basedOn w:val="Normal"/>
    <w:next w:val="Normal"/>
    <w:qFormat/>
    <w:rsid w:val="00BC6B7B"/>
    <w:pPr>
      <w:keepNext/>
      <w:spacing w:before="240" w:after="60" w:line="240" w:lineRule="auto"/>
      <w:outlineLvl w:val="2"/>
    </w:pPr>
    <w:rPr>
      <w:rFonts w:cs="Arial"/>
      <w:b/>
      <w:b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NormalBold">
    <w:name w:val="Normal Bold"/>
    <w:basedOn w:val="Normal"/>
    <w:rPr>
      <w:b/>
    </w:rPr>
  </w:style>
  <w:style w:type="paragraph" w:customStyle="1" w:styleId="NPSAddresstext">
    <w:name w:val="NPS Address text"/>
    <w:basedOn w:val="Normal"/>
    <w:pPr>
      <w:spacing w:line="240" w:lineRule="atLeast"/>
      <w:jc w:val="right"/>
    </w:pPr>
  </w:style>
  <w:style w:type="paragraph" w:customStyle="1" w:styleId="NPSAreaheading">
    <w:name w:val="NPS Area heading"/>
    <w:basedOn w:val="Normal"/>
    <w:pPr>
      <w:spacing w:line="240" w:lineRule="atLeast"/>
    </w:pPr>
    <w:rPr>
      <w:b/>
    </w:r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B05909"/>
    <w:rPr>
      <w:rFonts w:ascii="Tahoma" w:hAnsi="Tahoma" w:cs="Tahoma"/>
      <w:sz w:val="16"/>
      <w:szCs w:val="16"/>
    </w:rPr>
  </w:style>
  <w:style w:type="paragraph" w:customStyle="1" w:styleId="NCPAreaitalic">
    <w:name w:val="NCP Area italic"/>
    <w:basedOn w:val="NPSAddresstext"/>
    <w:rPr>
      <w:i/>
    </w:rPr>
  </w:style>
  <w:style w:type="paragraph" w:customStyle="1" w:styleId="Bulletundernumberedtext">
    <w:name w:val="Bullet (under numbered text)"/>
    <w:rsid w:val="002E017A"/>
    <w:pPr>
      <w:numPr>
        <w:numId w:val="3"/>
      </w:numPr>
      <w:spacing w:after="240"/>
    </w:pPr>
    <w:rPr>
      <w:rFonts w:ascii="Arial" w:hAnsi="Arial"/>
      <w:sz w:val="22"/>
    </w:rPr>
  </w:style>
  <w:style w:type="paragraph" w:styleId="BodyText3">
    <w:name w:val="Body Text 3"/>
    <w:basedOn w:val="Normal"/>
    <w:rsid w:val="00BC6B7B"/>
    <w:pPr>
      <w:spacing w:line="240" w:lineRule="auto"/>
    </w:pPr>
    <w:rPr>
      <w:b/>
      <w:color w:val="auto"/>
    </w:rPr>
  </w:style>
  <w:style w:type="paragraph" w:styleId="ListParagraph">
    <w:name w:val="List Paragraph"/>
    <w:basedOn w:val="Normal"/>
    <w:uiPriority w:val="34"/>
    <w:qFormat/>
    <w:rsid w:val="00FC0E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80" w:lineRule="atLeast"/>
    </w:pPr>
    <w:rPr>
      <w:rFonts w:ascii="Arial" w:hAnsi="Arial"/>
      <w:color w:val="000000"/>
    </w:rPr>
  </w:style>
  <w:style w:type="paragraph" w:styleId="Heading1">
    <w:name w:val="heading 1"/>
    <w:basedOn w:val="Normal"/>
    <w:next w:val="Normal"/>
    <w:qFormat/>
    <w:pPr>
      <w:keepNext/>
      <w:numPr>
        <w:numId w:val="1"/>
      </w:numPr>
      <w:spacing w:before="240" w:after="60"/>
      <w:outlineLvl w:val="0"/>
    </w:pPr>
    <w:rPr>
      <w:rFonts w:cs="Arial"/>
      <w:b/>
      <w:bCs/>
      <w:kern w:val="32"/>
      <w:sz w:val="32"/>
      <w:szCs w:val="32"/>
    </w:rPr>
  </w:style>
  <w:style w:type="paragraph" w:styleId="Heading3">
    <w:name w:val="heading 3"/>
    <w:basedOn w:val="Normal"/>
    <w:next w:val="Normal"/>
    <w:qFormat/>
    <w:rsid w:val="00BC6B7B"/>
    <w:pPr>
      <w:keepNext/>
      <w:spacing w:before="240" w:after="60" w:line="240" w:lineRule="auto"/>
      <w:outlineLvl w:val="2"/>
    </w:pPr>
    <w:rPr>
      <w:rFonts w:cs="Arial"/>
      <w:b/>
      <w:b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NormalBold">
    <w:name w:val="Normal Bold"/>
    <w:basedOn w:val="Normal"/>
    <w:rPr>
      <w:b/>
    </w:rPr>
  </w:style>
  <w:style w:type="paragraph" w:customStyle="1" w:styleId="NPSAddresstext">
    <w:name w:val="NPS Address text"/>
    <w:basedOn w:val="Normal"/>
    <w:pPr>
      <w:spacing w:line="240" w:lineRule="atLeast"/>
      <w:jc w:val="right"/>
    </w:pPr>
  </w:style>
  <w:style w:type="paragraph" w:customStyle="1" w:styleId="NPSAreaheading">
    <w:name w:val="NPS Area heading"/>
    <w:basedOn w:val="Normal"/>
    <w:pPr>
      <w:spacing w:line="240" w:lineRule="atLeast"/>
    </w:pPr>
    <w:rPr>
      <w:b/>
    </w:r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B05909"/>
    <w:rPr>
      <w:rFonts w:ascii="Tahoma" w:hAnsi="Tahoma" w:cs="Tahoma"/>
      <w:sz w:val="16"/>
      <w:szCs w:val="16"/>
    </w:rPr>
  </w:style>
  <w:style w:type="paragraph" w:customStyle="1" w:styleId="NCPAreaitalic">
    <w:name w:val="NCP Area italic"/>
    <w:basedOn w:val="NPSAddresstext"/>
    <w:rPr>
      <w:i/>
    </w:rPr>
  </w:style>
  <w:style w:type="paragraph" w:customStyle="1" w:styleId="Bulletundernumberedtext">
    <w:name w:val="Bullet (under numbered text)"/>
    <w:rsid w:val="002E017A"/>
    <w:pPr>
      <w:numPr>
        <w:numId w:val="3"/>
      </w:numPr>
      <w:spacing w:after="240"/>
    </w:pPr>
    <w:rPr>
      <w:rFonts w:ascii="Arial" w:hAnsi="Arial"/>
      <w:sz w:val="22"/>
    </w:rPr>
  </w:style>
  <w:style w:type="paragraph" w:styleId="BodyText3">
    <w:name w:val="Body Text 3"/>
    <w:basedOn w:val="Normal"/>
    <w:rsid w:val="00BC6B7B"/>
    <w:pPr>
      <w:spacing w:line="240" w:lineRule="auto"/>
    </w:pPr>
    <w:rPr>
      <w:b/>
      <w:color w:val="auto"/>
    </w:rPr>
  </w:style>
  <w:style w:type="paragraph" w:styleId="ListParagraph">
    <w:name w:val="List Paragraph"/>
    <w:basedOn w:val="Normal"/>
    <w:uiPriority w:val="34"/>
    <w:qFormat/>
    <w:rsid w:val="00FC0E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34528">
      <w:bodyDiv w:val="1"/>
      <w:marLeft w:val="0"/>
      <w:marRight w:val="0"/>
      <w:marTop w:val="0"/>
      <w:marBottom w:val="0"/>
      <w:divBdr>
        <w:top w:val="none" w:sz="0" w:space="0" w:color="auto"/>
        <w:left w:val="none" w:sz="0" w:space="0" w:color="auto"/>
        <w:bottom w:val="none" w:sz="0" w:space="0" w:color="auto"/>
        <w:right w:val="none" w:sz="0" w:space="0" w:color="auto"/>
      </w:divBdr>
    </w:div>
    <w:div w:id="836069166">
      <w:bodyDiv w:val="1"/>
      <w:marLeft w:val="0"/>
      <w:marRight w:val="0"/>
      <w:marTop w:val="0"/>
      <w:marBottom w:val="0"/>
      <w:divBdr>
        <w:top w:val="none" w:sz="0" w:space="0" w:color="auto"/>
        <w:left w:val="none" w:sz="0" w:space="0" w:color="auto"/>
        <w:bottom w:val="none" w:sz="0" w:space="0" w:color="auto"/>
        <w:right w:val="none" w:sz="0" w:space="0" w:color="auto"/>
      </w:divBdr>
    </w:div>
    <w:div w:id="196111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CB5BD-4067-47AB-8266-035A2E5DD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458</Words>
  <Characters>2179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NOMS Eng Letter</vt:lpstr>
    </vt:vector>
  </TitlesOfParts>
  <Company>The Team</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NOMS Eng Letter</dc:title>
  <dc:creator>White</dc:creator>
  <dc:description>Developed by Operandi Limited.</dc:description>
  <cp:lastModifiedBy>Annoesjka Valent</cp:lastModifiedBy>
  <cp:revision>2</cp:revision>
  <cp:lastPrinted>2016-02-04T11:38:00Z</cp:lastPrinted>
  <dcterms:created xsi:type="dcterms:W3CDTF">2016-03-11T14:51:00Z</dcterms:created>
  <dcterms:modified xsi:type="dcterms:W3CDTF">2016-03-11T14:51:00Z</dcterms:modified>
</cp:coreProperties>
</file>