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DA" w:rsidRDefault="007C55F1" w:rsidP="00FB48DA">
      <w:pPr>
        <w:rPr>
          <w:rFonts w:ascii="Arial" w:hAnsi="Arial" w:cs="Arial"/>
          <w:sz w:val="22"/>
          <w:szCs w:val="22"/>
          <w:lang w:val="en-US"/>
        </w:rPr>
      </w:pPr>
      <w:r w:rsidRPr="00877252">
        <w:rPr>
          <w:noProof/>
        </w:rPr>
        <w:drawing>
          <wp:inline distT="0" distB="0" distL="0" distR="0" wp14:anchorId="6374D3B2" wp14:editId="13EA3A18">
            <wp:extent cx="1628775" cy="723900"/>
            <wp:effectExtent l="0" t="0" r="9525" b="0"/>
            <wp:docPr id="1" name="Picture 1" descr="C:\Users\gqk32c\AppData\Local\Microsoft\Windows\Temporary Internet Files\Content.Outlook\XJUH0QM2\HMPPS_BL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qk32c\AppData\Local\Microsoft\Windows\Temporary Internet Files\Content.Outlook\XJUH0QM2\HMPPS_BLK_A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inline>
        </w:drawing>
      </w:r>
    </w:p>
    <w:p w:rsidR="00FB48DA" w:rsidRDefault="00FB48DA" w:rsidP="00FB48DA">
      <w:pPr>
        <w:rPr>
          <w:rFonts w:ascii="Arial" w:hAnsi="Arial" w:cs="Arial"/>
          <w:sz w:val="22"/>
          <w:szCs w:val="22"/>
          <w:lang w:val="en-US"/>
        </w:rPr>
      </w:pPr>
    </w:p>
    <w:p w:rsidR="00FB48DA" w:rsidRPr="00566B8D" w:rsidRDefault="00FB48DA" w:rsidP="00FB48DA">
      <w:pPr>
        <w:rPr>
          <w:rFonts w:ascii="Arial" w:hAnsi="Arial" w:cs="Arial"/>
          <w:sz w:val="22"/>
          <w:szCs w:val="22"/>
        </w:rPr>
      </w:pPr>
    </w:p>
    <w:p w:rsidR="00FB48DA" w:rsidRPr="00CC0ADE" w:rsidRDefault="00FB48DA" w:rsidP="00CC0ADE">
      <w:pPr>
        <w:pStyle w:val="Title"/>
        <w:rPr>
          <w:rFonts w:asciiTheme="minorHAnsi" w:hAnsiTheme="minorHAnsi" w:cstheme="minorHAnsi"/>
          <w:sz w:val="22"/>
          <w:szCs w:val="22"/>
        </w:rPr>
      </w:pPr>
      <w:r w:rsidRPr="00CC0ADE">
        <w:rPr>
          <w:rFonts w:asciiTheme="minorHAnsi" w:hAnsiTheme="minorHAnsi" w:cstheme="minorHAnsi"/>
          <w:sz w:val="22"/>
          <w:szCs w:val="22"/>
        </w:rPr>
        <w:t>Equality Analysis</w:t>
      </w:r>
    </w:p>
    <w:p w:rsidR="00FB48DA" w:rsidRPr="00CC0ADE" w:rsidRDefault="00FB48DA" w:rsidP="00CC0ADE">
      <w:pPr>
        <w:rPr>
          <w:rFonts w:asciiTheme="minorHAnsi" w:hAnsiTheme="minorHAnsi" w:cstheme="minorHAnsi"/>
          <w:sz w:val="22"/>
          <w:szCs w:val="22"/>
        </w:rPr>
      </w:pPr>
    </w:p>
    <w:p w:rsidR="00FB48DA" w:rsidRPr="00CC0ADE" w:rsidRDefault="00FB48DA" w:rsidP="00CC0ADE">
      <w:pPr>
        <w:jc w:val="both"/>
        <w:rPr>
          <w:rFonts w:asciiTheme="minorHAnsi" w:hAnsiTheme="minorHAnsi" w:cstheme="minorHAnsi"/>
          <w:sz w:val="22"/>
          <w:szCs w:val="22"/>
        </w:rPr>
      </w:pPr>
      <w:r w:rsidRPr="00CC0ADE">
        <w:rPr>
          <w:rFonts w:asciiTheme="minorHAnsi" w:hAnsiTheme="minorHAnsi" w:cstheme="minorHAnsi"/>
          <w:sz w:val="22"/>
          <w:szCs w:val="22"/>
        </w:rPr>
        <w:t xml:space="preserve">An Equality Analysis starts at the </w:t>
      </w:r>
      <w:r w:rsidRPr="00CC0ADE">
        <w:rPr>
          <w:rFonts w:asciiTheme="minorHAnsi" w:hAnsiTheme="minorHAnsi" w:cstheme="minorHAnsi"/>
          <w:sz w:val="22"/>
          <w:szCs w:val="22"/>
          <w:u w:val="single"/>
        </w:rPr>
        <w:t>beginning</w:t>
      </w:r>
      <w:r w:rsidRPr="00CC0ADE">
        <w:rPr>
          <w:rFonts w:asciiTheme="minorHAnsi" w:hAnsiTheme="minorHAnsi" w:cstheme="minorHAnsi"/>
          <w:sz w:val="22"/>
          <w:szCs w:val="22"/>
        </w:rPr>
        <w:t xml:space="preserve"> of and is part of project or policy development, consistent with the approach outlined in AI 14/2016 PSI 20/2016 PI 19/2016. The ‘checklist’ below is a way to capture the audit trail and provides some reminders of what should be considered, throughout the development of the project.  Equality Analysis is about taking every opportunity to embed equality into the project or policy. This will improve its quality, partly through identifying and mitigating risks; including the potential for bias, unconscious or otherwise. By populating the fields below, you can show how you have achieved this.</w:t>
      </w:r>
      <w:r w:rsidR="00714D59" w:rsidRPr="00CC0ADE">
        <w:rPr>
          <w:rFonts w:asciiTheme="minorHAnsi" w:hAnsiTheme="minorHAnsi" w:cstheme="minorHAnsi"/>
          <w:sz w:val="22"/>
          <w:szCs w:val="22"/>
        </w:rPr>
        <w:t xml:space="preserve"> </w:t>
      </w:r>
    </w:p>
    <w:p w:rsidR="00FB48DA" w:rsidRPr="00CC0ADE" w:rsidRDefault="00FB48DA" w:rsidP="00CC0ADE">
      <w:pPr>
        <w:rPr>
          <w:rFonts w:asciiTheme="minorHAnsi" w:hAnsiTheme="minorHAnsi" w:cstheme="minorHAnsi"/>
          <w:sz w:val="22"/>
          <w:szCs w:val="22"/>
        </w:rPr>
      </w:pPr>
    </w:p>
    <w:tbl>
      <w:tblPr>
        <w:tblW w:w="0" w:type="auto"/>
        <w:tblLook w:val="04A0" w:firstRow="1" w:lastRow="0" w:firstColumn="1" w:lastColumn="0" w:noHBand="0" w:noVBand="1"/>
      </w:tblPr>
      <w:tblGrid>
        <w:gridCol w:w="2302"/>
        <w:gridCol w:w="3692"/>
        <w:gridCol w:w="279"/>
        <w:gridCol w:w="65"/>
        <w:gridCol w:w="275"/>
        <w:gridCol w:w="2413"/>
      </w:tblGrid>
      <w:tr w:rsidR="00FB48DA" w:rsidRPr="00CC0ADE" w:rsidTr="00714D59">
        <w:trPr>
          <w:cantSplit/>
        </w:trPr>
        <w:tc>
          <w:tcPr>
            <w:tcW w:w="9026" w:type="dxa"/>
            <w:gridSpan w:val="6"/>
            <w:shd w:val="clear" w:color="auto" w:fill="auto"/>
          </w:tcPr>
          <w:p w:rsidR="00FB48DA" w:rsidRPr="00CC0ADE" w:rsidRDefault="00FB48DA" w:rsidP="00CC0ADE">
            <w:pPr>
              <w:rPr>
                <w:rFonts w:asciiTheme="minorHAnsi" w:hAnsiTheme="minorHAnsi" w:cstheme="minorHAnsi"/>
                <w:b/>
                <w:spacing w:val="-2"/>
                <w:sz w:val="22"/>
                <w:szCs w:val="22"/>
              </w:rPr>
            </w:pPr>
            <w:r w:rsidRPr="00CC0ADE">
              <w:rPr>
                <w:rFonts w:asciiTheme="minorHAnsi" w:hAnsiTheme="minorHAnsi" w:cstheme="minorHAnsi"/>
                <w:b/>
                <w:spacing w:val="-2"/>
                <w:sz w:val="22"/>
                <w:szCs w:val="22"/>
              </w:rPr>
              <w:t xml:space="preserve">Name of Policy / Project, Practice or Procedure under development (hereafter called ‘product’) </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r w:rsidRPr="00CC0ADE">
              <w:rPr>
                <w:rFonts w:asciiTheme="minorHAnsi" w:hAnsiTheme="minorHAnsi" w:cstheme="minorHAnsi"/>
                <w:sz w:val="22"/>
                <w:szCs w:val="22"/>
              </w:rPr>
              <w:t xml:space="preserve">New </w:t>
            </w:r>
            <w:r w:rsidR="007C55F1" w:rsidRPr="00CC0ADE">
              <w:rPr>
                <w:rFonts w:asciiTheme="minorHAnsi" w:hAnsiTheme="minorHAnsi" w:cstheme="minorHAnsi"/>
                <w:sz w:val="22"/>
                <w:szCs w:val="22"/>
              </w:rPr>
              <w:t xml:space="preserve">HMPPS </w:t>
            </w:r>
            <w:r w:rsidRPr="00CC0ADE">
              <w:rPr>
                <w:rFonts w:asciiTheme="minorHAnsi" w:hAnsiTheme="minorHAnsi" w:cstheme="minorHAnsi"/>
                <w:sz w:val="22"/>
                <w:szCs w:val="22"/>
              </w:rPr>
              <w:t>Attendance Management Policy</w:t>
            </w:r>
          </w:p>
          <w:p w:rsidR="00714D59" w:rsidRPr="00CC0ADE" w:rsidRDefault="00714D59"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rPr>
                <w:rFonts w:asciiTheme="minorHAnsi" w:hAnsiTheme="minorHAnsi" w:cstheme="minorHAnsi"/>
                <w:b/>
                <w:sz w:val="22"/>
                <w:szCs w:val="22"/>
              </w:rPr>
            </w:pPr>
            <w:r w:rsidRPr="00CC0ADE">
              <w:rPr>
                <w:rFonts w:asciiTheme="minorHAnsi" w:hAnsiTheme="minorHAnsi" w:cstheme="minorHAnsi"/>
                <w:b/>
                <w:sz w:val="22"/>
                <w:szCs w:val="22"/>
              </w:rPr>
              <w:t>Brief description of the planned product</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BE01E1" w:rsidRPr="00CC0ADE" w:rsidRDefault="00FB48DA" w:rsidP="00CC0ADE">
            <w:pPr>
              <w:jc w:val="both"/>
              <w:rPr>
                <w:rFonts w:asciiTheme="minorHAnsi" w:hAnsiTheme="minorHAnsi" w:cstheme="minorHAnsi"/>
                <w:sz w:val="22"/>
                <w:szCs w:val="22"/>
              </w:rPr>
            </w:pPr>
            <w:r w:rsidRPr="00CC0ADE">
              <w:rPr>
                <w:rFonts w:asciiTheme="minorHAnsi" w:hAnsiTheme="minorHAnsi" w:cstheme="minorHAnsi"/>
                <w:sz w:val="22"/>
                <w:szCs w:val="22"/>
              </w:rPr>
              <w:t>A new Attendance Management policy to replace PSO 8404 and PI 37/2014, which will be</w:t>
            </w:r>
            <w:r w:rsidR="00BE01E1" w:rsidRPr="00CC0ADE">
              <w:rPr>
                <w:rFonts w:asciiTheme="minorHAnsi" w:hAnsiTheme="minorHAnsi" w:cstheme="minorHAnsi"/>
                <w:sz w:val="22"/>
                <w:szCs w:val="22"/>
              </w:rPr>
              <w:t>:</w:t>
            </w:r>
          </w:p>
          <w:p w:rsidR="00BE01E1" w:rsidRPr="00CC0ADE" w:rsidRDefault="00FB48DA" w:rsidP="00CC0ADE">
            <w:pPr>
              <w:pStyle w:val="ListParagraph"/>
              <w:numPr>
                <w:ilvl w:val="0"/>
                <w:numId w:val="4"/>
              </w:numPr>
              <w:jc w:val="both"/>
              <w:rPr>
                <w:rFonts w:asciiTheme="minorHAnsi" w:hAnsiTheme="minorHAnsi" w:cstheme="minorHAnsi"/>
                <w:sz w:val="22"/>
                <w:szCs w:val="22"/>
              </w:rPr>
            </w:pPr>
            <w:r w:rsidRPr="00CC0ADE">
              <w:rPr>
                <w:rFonts w:asciiTheme="minorHAnsi" w:hAnsiTheme="minorHAnsi" w:cstheme="minorHAnsi"/>
                <w:sz w:val="22"/>
                <w:szCs w:val="22"/>
              </w:rPr>
              <w:t xml:space="preserve">designed to encourage line managers and employees to take </w:t>
            </w:r>
            <w:r w:rsidR="00B029FC" w:rsidRPr="00CC0ADE">
              <w:rPr>
                <w:rFonts w:asciiTheme="minorHAnsi" w:hAnsiTheme="minorHAnsi" w:cstheme="minorHAnsi"/>
                <w:sz w:val="22"/>
                <w:szCs w:val="22"/>
              </w:rPr>
              <w:t xml:space="preserve">appropriate </w:t>
            </w:r>
            <w:r w:rsidRPr="00CC0ADE">
              <w:rPr>
                <w:rFonts w:asciiTheme="minorHAnsi" w:hAnsiTheme="minorHAnsi" w:cstheme="minorHAnsi"/>
                <w:sz w:val="22"/>
                <w:szCs w:val="22"/>
              </w:rPr>
              <w:t>action when health and well-being are at risk</w:t>
            </w:r>
            <w:r w:rsidR="001C20AA" w:rsidRPr="00CC0ADE">
              <w:rPr>
                <w:rFonts w:asciiTheme="minorHAnsi" w:hAnsiTheme="minorHAnsi" w:cstheme="minorHAnsi"/>
                <w:sz w:val="22"/>
                <w:szCs w:val="22"/>
              </w:rPr>
              <w:t>;</w:t>
            </w:r>
          </w:p>
          <w:p w:rsidR="00BE01E1" w:rsidRPr="00CC0ADE" w:rsidRDefault="00FB48DA" w:rsidP="00CC0ADE">
            <w:pPr>
              <w:pStyle w:val="ListParagraph"/>
              <w:numPr>
                <w:ilvl w:val="0"/>
                <w:numId w:val="4"/>
              </w:numPr>
              <w:jc w:val="both"/>
              <w:rPr>
                <w:rFonts w:asciiTheme="minorHAnsi" w:hAnsiTheme="minorHAnsi" w:cstheme="minorHAnsi"/>
                <w:sz w:val="22"/>
                <w:szCs w:val="22"/>
              </w:rPr>
            </w:pPr>
            <w:r w:rsidRPr="00CC0ADE">
              <w:rPr>
                <w:rFonts w:asciiTheme="minorHAnsi" w:hAnsiTheme="minorHAnsi" w:cstheme="minorHAnsi"/>
                <w:sz w:val="22"/>
                <w:szCs w:val="22"/>
              </w:rPr>
              <w:t xml:space="preserve"> to support managers in managing attendance effectively by placing a greater emphasis on the line manager</w:t>
            </w:r>
            <w:r w:rsidR="00665163" w:rsidRPr="00CC0ADE">
              <w:rPr>
                <w:rFonts w:asciiTheme="minorHAnsi" w:hAnsiTheme="minorHAnsi" w:cstheme="minorHAnsi"/>
                <w:sz w:val="22"/>
                <w:szCs w:val="22"/>
              </w:rPr>
              <w:t xml:space="preserve"> using their discretion</w:t>
            </w:r>
            <w:r w:rsidR="001C20AA" w:rsidRPr="00CC0ADE">
              <w:rPr>
                <w:rFonts w:asciiTheme="minorHAnsi" w:hAnsiTheme="minorHAnsi" w:cstheme="minorHAnsi"/>
                <w:sz w:val="22"/>
                <w:szCs w:val="22"/>
              </w:rPr>
              <w:t>;</w:t>
            </w:r>
          </w:p>
          <w:p w:rsidR="00BE01E1" w:rsidRPr="00CC0ADE" w:rsidRDefault="00BE01E1" w:rsidP="00CC0ADE">
            <w:pPr>
              <w:pStyle w:val="ListParagraph"/>
              <w:numPr>
                <w:ilvl w:val="0"/>
                <w:numId w:val="4"/>
              </w:numPr>
              <w:jc w:val="both"/>
              <w:rPr>
                <w:rFonts w:asciiTheme="minorHAnsi" w:hAnsiTheme="minorHAnsi" w:cstheme="minorHAnsi"/>
                <w:sz w:val="22"/>
                <w:szCs w:val="22"/>
              </w:rPr>
            </w:pPr>
            <w:r w:rsidRPr="00CC0ADE">
              <w:rPr>
                <w:rFonts w:asciiTheme="minorHAnsi" w:hAnsiTheme="minorHAnsi" w:cstheme="minorHAnsi"/>
                <w:sz w:val="22"/>
                <w:szCs w:val="22"/>
              </w:rPr>
              <w:t xml:space="preserve">line managers </w:t>
            </w:r>
            <w:r w:rsidR="00FB48DA" w:rsidRPr="00CC0ADE">
              <w:rPr>
                <w:rFonts w:asciiTheme="minorHAnsi" w:hAnsiTheme="minorHAnsi" w:cstheme="minorHAnsi"/>
                <w:bCs/>
                <w:sz w:val="22"/>
                <w:szCs w:val="22"/>
              </w:rPr>
              <w:t>working</w:t>
            </w:r>
            <w:r w:rsidR="00FB48DA" w:rsidRPr="00CC0ADE">
              <w:rPr>
                <w:rFonts w:asciiTheme="minorHAnsi" w:hAnsiTheme="minorHAnsi" w:cstheme="minorHAnsi"/>
                <w:sz w:val="22"/>
                <w:szCs w:val="22"/>
              </w:rPr>
              <w:t xml:space="preserve"> </w:t>
            </w:r>
            <w:r w:rsidR="00FB48DA" w:rsidRPr="00CC0ADE">
              <w:rPr>
                <w:rFonts w:asciiTheme="minorHAnsi" w:hAnsiTheme="minorHAnsi" w:cstheme="minorHAnsi"/>
                <w:bCs/>
                <w:sz w:val="22"/>
                <w:szCs w:val="22"/>
              </w:rPr>
              <w:t>together</w:t>
            </w:r>
            <w:r w:rsidR="00FB48DA" w:rsidRPr="00CC0ADE">
              <w:rPr>
                <w:rFonts w:asciiTheme="minorHAnsi" w:hAnsiTheme="minorHAnsi" w:cstheme="minorHAnsi"/>
                <w:sz w:val="22"/>
                <w:szCs w:val="22"/>
              </w:rPr>
              <w:t xml:space="preserve"> </w:t>
            </w:r>
            <w:r w:rsidR="00665163" w:rsidRPr="00CC0ADE">
              <w:rPr>
                <w:rFonts w:asciiTheme="minorHAnsi" w:hAnsiTheme="minorHAnsi" w:cstheme="minorHAnsi"/>
                <w:sz w:val="22"/>
                <w:szCs w:val="22"/>
              </w:rPr>
              <w:t xml:space="preserve">with the employee </w:t>
            </w:r>
            <w:r w:rsidR="00FB48DA" w:rsidRPr="00CC0ADE">
              <w:rPr>
                <w:rFonts w:asciiTheme="minorHAnsi" w:hAnsiTheme="minorHAnsi" w:cstheme="minorHAnsi"/>
                <w:sz w:val="22"/>
                <w:szCs w:val="22"/>
              </w:rPr>
              <w:t>to remove barriers to attendance at work, encouraging open and honest discussion between the line manager and employee about their attendance</w:t>
            </w:r>
            <w:r w:rsidR="001C20AA" w:rsidRPr="00CC0ADE">
              <w:rPr>
                <w:rFonts w:asciiTheme="minorHAnsi" w:hAnsiTheme="minorHAnsi" w:cstheme="minorHAnsi"/>
                <w:sz w:val="22"/>
                <w:szCs w:val="22"/>
              </w:rPr>
              <w:t>;</w:t>
            </w:r>
            <w:r w:rsidR="00FB48DA" w:rsidRPr="00CC0ADE">
              <w:rPr>
                <w:rFonts w:asciiTheme="minorHAnsi" w:hAnsiTheme="minorHAnsi" w:cstheme="minorHAnsi"/>
                <w:sz w:val="22"/>
                <w:szCs w:val="22"/>
              </w:rPr>
              <w:t xml:space="preserve"> </w:t>
            </w:r>
          </w:p>
          <w:p w:rsidR="00BE01E1" w:rsidRPr="00CC0ADE" w:rsidRDefault="00FB48DA" w:rsidP="00CC0ADE">
            <w:pPr>
              <w:pStyle w:val="ListParagraph"/>
              <w:numPr>
                <w:ilvl w:val="0"/>
                <w:numId w:val="4"/>
              </w:numPr>
              <w:jc w:val="both"/>
              <w:rPr>
                <w:rFonts w:asciiTheme="minorHAnsi" w:hAnsiTheme="minorHAnsi" w:cstheme="minorHAnsi"/>
                <w:sz w:val="22"/>
                <w:szCs w:val="22"/>
              </w:rPr>
            </w:pPr>
            <w:r w:rsidRPr="00CC0ADE">
              <w:rPr>
                <w:rFonts w:asciiTheme="minorHAnsi" w:hAnsiTheme="minorHAnsi" w:cstheme="minorHAnsi"/>
                <w:sz w:val="22"/>
                <w:szCs w:val="22"/>
              </w:rPr>
              <w:t xml:space="preserve">promoting early intervention when health issues arise, prompting </w:t>
            </w:r>
            <w:r w:rsidR="00B029FC" w:rsidRPr="00CC0ADE">
              <w:rPr>
                <w:rFonts w:asciiTheme="minorHAnsi" w:hAnsiTheme="minorHAnsi" w:cstheme="minorHAnsi"/>
                <w:sz w:val="22"/>
                <w:szCs w:val="22"/>
              </w:rPr>
              <w:t xml:space="preserve">appropriate </w:t>
            </w:r>
            <w:r w:rsidRPr="00CC0ADE">
              <w:rPr>
                <w:rFonts w:asciiTheme="minorHAnsi" w:hAnsiTheme="minorHAnsi" w:cstheme="minorHAnsi"/>
                <w:sz w:val="22"/>
                <w:szCs w:val="22"/>
              </w:rPr>
              <w:t>action when health and well-being are at risk or when absence levels are unsatisfactory</w:t>
            </w:r>
            <w:r w:rsidR="001C20AA" w:rsidRPr="00CC0ADE">
              <w:rPr>
                <w:rFonts w:asciiTheme="minorHAnsi" w:hAnsiTheme="minorHAnsi" w:cstheme="minorHAnsi"/>
                <w:sz w:val="22"/>
                <w:szCs w:val="22"/>
              </w:rPr>
              <w:t xml:space="preserve">; </w:t>
            </w:r>
          </w:p>
          <w:p w:rsidR="00FB48DA" w:rsidRPr="00CC0ADE" w:rsidRDefault="00FB48DA" w:rsidP="00CC0ADE">
            <w:pPr>
              <w:pStyle w:val="ListParagraph"/>
              <w:numPr>
                <w:ilvl w:val="0"/>
                <w:numId w:val="4"/>
              </w:numPr>
              <w:jc w:val="both"/>
              <w:rPr>
                <w:rFonts w:asciiTheme="minorHAnsi" w:hAnsiTheme="minorHAnsi" w:cstheme="minorHAnsi"/>
                <w:sz w:val="22"/>
                <w:szCs w:val="22"/>
              </w:rPr>
            </w:pPr>
            <w:r w:rsidRPr="00CC0ADE">
              <w:rPr>
                <w:rFonts w:asciiTheme="minorHAnsi" w:hAnsiTheme="minorHAnsi" w:cstheme="minorHAnsi"/>
                <w:sz w:val="22"/>
                <w:szCs w:val="22"/>
              </w:rPr>
              <w:t>providing a clear understanding of individual roles and responsibilities and ensuring attendance is managed in a way which is fair and transparent.</w:t>
            </w:r>
          </w:p>
          <w:p w:rsidR="00FB48DA" w:rsidRPr="00CC0ADE" w:rsidRDefault="00FB48DA"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rPr>
                <w:rFonts w:asciiTheme="minorHAnsi" w:hAnsiTheme="minorHAnsi" w:cstheme="minorHAnsi"/>
                <w:b/>
                <w:sz w:val="22"/>
                <w:szCs w:val="22"/>
              </w:rPr>
            </w:pPr>
            <w:r w:rsidRPr="00CC0ADE">
              <w:rPr>
                <w:rFonts w:asciiTheme="minorHAnsi" w:hAnsiTheme="minorHAnsi" w:cstheme="minorHAnsi"/>
                <w:b/>
                <w:sz w:val="22"/>
                <w:szCs w:val="22"/>
              </w:rPr>
              <w:t>Equality Analysis Lead: The person leading on the product</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r w:rsidRPr="00CC0ADE">
              <w:rPr>
                <w:rFonts w:asciiTheme="minorHAnsi" w:hAnsiTheme="minorHAnsi" w:cstheme="minorHAnsi"/>
                <w:sz w:val="22"/>
                <w:szCs w:val="22"/>
              </w:rPr>
              <w:t>Jim Fraser</w:t>
            </w:r>
          </w:p>
          <w:p w:rsidR="00714D59" w:rsidRPr="00CC0ADE" w:rsidRDefault="00714D59"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shd w:val="clear" w:color="auto" w:fill="auto"/>
          </w:tcPr>
          <w:p w:rsidR="00FB48DA" w:rsidRPr="00CC0ADE" w:rsidRDefault="00FB48DA" w:rsidP="00CC0ADE">
            <w:pPr>
              <w:rPr>
                <w:rFonts w:asciiTheme="minorHAnsi" w:hAnsiTheme="minorHAnsi" w:cstheme="minorHAnsi"/>
                <w:b/>
                <w:sz w:val="22"/>
                <w:szCs w:val="22"/>
              </w:rPr>
            </w:pPr>
            <w:r w:rsidRPr="00CC0ADE">
              <w:rPr>
                <w:rFonts w:asciiTheme="minorHAnsi" w:hAnsiTheme="minorHAnsi" w:cstheme="minorHAnsi"/>
                <w:b/>
                <w:sz w:val="22"/>
                <w:szCs w:val="22"/>
              </w:rPr>
              <w:t>Start Date</w:t>
            </w:r>
          </w:p>
        </w:tc>
      </w:tr>
      <w:tr w:rsidR="00FB48DA" w:rsidRPr="00CC0ADE" w:rsidTr="00714D59">
        <w:trPr>
          <w:cantSplit/>
        </w:trPr>
        <w:tc>
          <w:tcPr>
            <w:tcW w:w="2302" w:type="dxa"/>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714D59" w:rsidP="00CC0ADE">
            <w:pPr>
              <w:rPr>
                <w:rFonts w:asciiTheme="minorHAnsi" w:hAnsiTheme="minorHAnsi" w:cstheme="minorHAnsi"/>
                <w:sz w:val="22"/>
                <w:szCs w:val="22"/>
              </w:rPr>
            </w:pPr>
            <w:r w:rsidRPr="00CC0ADE">
              <w:rPr>
                <w:rFonts w:asciiTheme="minorHAnsi" w:hAnsiTheme="minorHAnsi" w:cstheme="minorHAnsi"/>
                <w:sz w:val="22"/>
                <w:szCs w:val="22"/>
              </w:rPr>
              <w:t>September 2016</w:t>
            </w:r>
          </w:p>
        </w:tc>
        <w:tc>
          <w:tcPr>
            <w:tcW w:w="6724" w:type="dxa"/>
            <w:gridSpan w:val="5"/>
            <w:tcBorders>
              <w:lef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r>
      <w:tr w:rsidR="00FB48DA" w:rsidRPr="00CC0ADE" w:rsidTr="00714D59">
        <w:trPr>
          <w:cantSplit/>
        </w:trPr>
        <w:tc>
          <w:tcPr>
            <w:tcW w:w="9026" w:type="dxa"/>
            <w:gridSpan w:val="6"/>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lastRenderedPageBreak/>
              <w:t>What are the high level equality objective/s (positive opportunities) associated with your product?  How will you ensure that your project is included to all those affected? What are the risks, including risk of bias?</w:t>
            </w:r>
            <w:r w:rsidR="00C275C7" w:rsidRPr="00CC0ADE">
              <w:rPr>
                <w:rFonts w:asciiTheme="minorHAnsi" w:hAnsiTheme="minorHAnsi" w:cstheme="minorHAnsi"/>
                <w:b/>
                <w:sz w:val="22"/>
                <w:szCs w:val="22"/>
              </w:rPr>
              <w:t xml:space="preserve"> </w:t>
            </w:r>
          </w:p>
          <w:p w:rsidR="00136193" w:rsidRPr="00CC0ADE" w:rsidRDefault="00136193" w:rsidP="00CC0ADE">
            <w:pPr>
              <w:keepNext/>
              <w:rPr>
                <w:rFonts w:asciiTheme="minorHAnsi" w:hAnsiTheme="minorHAnsi" w:cstheme="minorHAnsi"/>
                <w:b/>
                <w:sz w:val="22"/>
                <w:szCs w:val="22"/>
              </w:rPr>
            </w:pPr>
          </w:p>
        </w:tc>
      </w:tr>
      <w:tr w:rsidR="00FB48DA" w:rsidRPr="00CC0ADE" w:rsidTr="00714D59">
        <w:trPr>
          <w:cantSplit/>
          <w:trHeight w:val="1644"/>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FB48DA" w:rsidP="00CC0ADE">
            <w:pPr>
              <w:pStyle w:val="ListNumber"/>
              <w:numPr>
                <w:ilvl w:val="0"/>
                <w:numId w:val="0"/>
              </w:numPr>
              <w:spacing w:after="0"/>
              <w:ind w:left="360" w:hanging="360"/>
              <w:rPr>
                <w:rFonts w:asciiTheme="minorHAnsi" w:hAnsiTheme="minorHAnsi" w:cstheme="minorHAnsi"/>
                <w:sz w:val="22"/>
                <w:szCs w:val="22"/>
              </w:rPr>
            </w:pPr>
            <w:r w:rsidRPr="00CC0ADE">
              <w:rPr>
                <w:rFonts w:asciiTheme="minorHAnsi" w:hAnsiTheme="minorHAnsi" w:cstheme="minorHAnsi"/>
                <w:sz w:val="22"/>
                <w:szCs w:val="22"/>
              </w:rPr>
              <w:t>The objectives of this policy are to:</w:t>
            </w:r>
          </w:p>
          <w:p w:rsidR="00FB48DA" w:rsidRPr="00CC0ADE" w:rsidRDefault="00FB48DA" w:rsidP="00CC0ADE">
            <w:pPr>
              <w:pStyle w:val="ListNumber"/>
              <w:numPr>
                <w:ilvl w:val="0"/>
                <w:numId w:val="0"/>
              </w:numPr>
              <w:spacing w:after="0"/>
              <w:ind w:left="360" w:hanging="360"/>
              <w:rPr>
                <w:rFonts w:asciiTheme="minorHAnsi" w:hAnsiTheme="minorHAnsi" w:cstheme="minorHAnsi"/>
                <w:sz w:val="22"/>
                <w:szCs w:val="22"/>
              </w:rPr>
            </w:pP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promote a culture of attendance, focussing on what individuals can do rather than what they cannot and supporting employees to remain at or return to work where possible</w:t>
            </w:r>
            <w:r w:rsidR="001C20AA" w:rsidRPr="00CC0ADE">
              <w:rPr>
                <w:rFonts w:asciiTheme="minorHAnsi" w:hAnsiTheme="minorHAnsi" w:cstheme="minorHAnsi"/>
              </w:rPr>
              <w:t>;</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improve productivity and reduce occupational sick pay costs</w:t>
            </w:r>
            <w:r w:rsidR="001C20AA" w:rsidRPr="00CC0ADE">
              <w:rPr>
                <w:rFonts w:asciiTheme="minorHAnsi" w:hAnsiTheme="minorHAnsi" w:cstheme="minorHAnsi"/>
              </w:rPr>
              <w:t>;</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help achieve a reduction in Average Working Days Lost (AWDL)</w:t>
            </w:r>
            <w:r w:rsidR="001C20AA" w:rsidRPr="00CC0ADE">
              <w:rPr>
                <w:rFonts w:asciiTheme="minorHAnsi" w:hAnsiTheme="minorHAnsi" w:cstheme="minorHAnsi"/>
              </w:rPr>
              <w:t>;</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 xml:space="preserve">improve manager capability and confidence to </w:t>
            </w:r>
            <w:r w:rsidR="00BE01E1" w:rsidRPr="00CC0ADE">
              <w:rPr>
                <w:rFonts w:asciiTheme="minorHAnsi" w:hAnsiTheme="minorHAnsi" w:cstheme="minorHAnsi"/>
              </w:rPr>
              <w:t xml:space="preserve">exercise discretion to </w:t>
            </w:r>
            <w:r w:rsidRPr="00CC0ADE">
              <w:rPr>
                <w:rFonts w:asciiTheme="minorHAnsi" w:hAnsiTheme="minorHAnsi" w:cstheme="minorHAnsi"/>
              </w:rPr>
              <w:t>enable them to consistently and effectively manage sickness absence</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promote the adoption of good practice from both the public and private sector across all departments in managing both short and long term absences</w:t>
            </w:r>
            <w:r w:rsidR="001C20AA" w:rsidRPr="00CC0ADE">
              <w:rPr>
                <w:rFonts w:asciiTheme="minorHAnsi" w:hAnsiTheme="minorHAnsi" w:cstheme="minorHAnsi"/>
              </w:rPr>
              <w:t>;</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set out a clear end-to-end process from reporting sickness to managing unsatisfactory attendance</w:t>
            </w:r>
            <w:r w:rsidR="001C20AA" w:rsidRPr="00CC0ADE">
              <w:rPr>
                <w:rFonts w:asciiTheme="minorHAnsi" w:hAnsiTheme="minorHAnsi" w:cstheme="minorHAnsi"/>
              </w:rPr>
              <w:t>;</w:t>
            </w:r>
          </w:p>
          <w:p w:rsidR="00FB48DA" w:rsidRPr="00CC0ADE" w:rsidRDefault="00FB48DA" w:rsidP="00CC0ADE">
            <w:pPr>
              <w:pStyle w:val="ListBullet3"/>
              <w:spacing w:before="0" w:after="0"/>
              <w:rPr>
                <w:rFonts w:asciiTheme="minorHAnsi" w:hAnsiTheme="minorHAnsi" w:cstheme="minorHAnsi"/>
              </w:rPr>
            </w:pPr>
            <w:r w:rsidRPr="00CC0ADE">
              <w:rPr>
                <w:rFonts w:asciiTheme="minorHAnsi" w:hAnsiTheme="minorHAnsi" w:cstheme="minorHAnsi"/>
              </w:rPr>
              <w:t>clarify individual roles and responsibilities.</w:t>
            </w:r>
          </w:p>
          <w:p w:rsidR="00FB48DA" w:rsidRPr="00CC0ADE" w:rsidRDefault="00FB48DA" w:rsidP="00CC0ADE">
            <w:pPr>
              <w:pStyle w:val="ListBullet3"/>
              <w:numPr>
                <w:ilvl w:val="0"/>
                <w:numId w:val="0"/>
              </w:numPr>
              <w:spacing w:before="0" w:after="0"/>
              <w:ind w:left="926"/>
              <w:rPr>
                <w:rFonts w:asciiTheme="minorHAnsi" w:hAnsiTheme="minorHAnsi" w:cstheme="minorHAnsi"/>
              </w:rPr>
            </w:pPr>
          </w:p>
          <w:p w:rsidR="00FB48DA" w:rsidRPr="00CC0ADE" w:rsidRDefault="00FB48DA" w:rsidP="00CC0ADE">
            <w:pPr>
              <w:rPr>
                <w:rFonts w:asciiTheme="minorHAnsi" w:hAnsiTheme="minorHAnsi" w:cstheme="minorHAnsi"/>
                <w:sz w:val="22"/>
                <w:szCs w:val="22"/>
              </w:rPr>
            </w:pPr>
            <w:r w:rsidRPr="00CC0ADE">
              <w:rPr>
                <w:rFonts w:asciiTheme="minorHAnsi" w:hAnsiTheme="minorHAnsi" w:cstheme="minorHAnsi"/>
                <w:sz w:val="22"/>
                <w:szCs w:val="22"/>
              </w:rPr>
              <w:t>The proposed policy will affect all employees within departments which implement them.</w:t>
            </w:r>
          </w:p>
          <w:p w:rsidR="00714D59" w:rsidRPr="00CC0ADE" w:rsidRDefault="00714D59"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First steps: Identify when in the project you will consider, plan and discuss the equality opportunities associated with your proposed product</w:t>
            </w:r>
          </w:p>
        </w:tc>
      </w:tr>
      <w:tr w:rsidR="00FB48DA" w:rsidRPr="00CC0ADE" w:rsidTr="00714D59">
        <w:trPr>
          <w:cantSplit/>
        </w:trPr>
        <w:tc>
          <w:tcPr>
            <w:tcW w:w="6338" w:type="dxa"/>
            <w:gridSpan w:val="4"/>
            <w:tcBorders>
              <w:bottom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 w:type="dxa"/>
            <w:shd w:val="clear" w:color="auto" w:fill="auto"/>
          </w:tcPr>
          <w:p w:rsidR="00FB48DA" w:rsidRPr="00CC0ADE" w:rsidRDefault="00FB48DA" w:rsidP="00CC0ADE">
            <w:pPr>
              <w:rPr>
                <w:rFonts w:asciiTheme="minorHAnsi" w:hAnsiTheme="minorHAnsi" w:cstheme="minorHAnsi"/>
                <w:sz w:val="22"/>
                <w:szCs w:val="22"/>
              </w:rPr>
            </w:pPr>
          </w:p>
        </w:tc>
        <w:tc>
          <w:tcPr>
            <w:tcW w:w="2413" w:type="dxa"/>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Key Date</w:t>
            </w:r>
          </w:p>
        </w:tc>
      </w:tr>
      <w:tr w:rsidR="00FB48DA" w:rsidRPr="00CC0ADE" w:rsidTr="00714D59">
        <w:trPr>
          <w:cantSplit/>
        </w:trPr>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 xml:space="preserve">Consultation with </w:t>
            </w:r>
            <w:r w:rsidR="007C55F1" w:rsidRPr="00CC0ADE">
              <w:rPr>
                <w:rFonts w:asciiTheme="minorHAnsi" w:hAnsiTheme="minorHAnsi" w:cstheme="minorHAnsi"/>
                <w:sz w:val="22"/>
                <w:szCs w:val="22"/>
              </w:rPr>
              <w:t>HMPPS</w:t>
            </w:r>
            <w:r w:rsidRPr="00CC0ADE">
              <w:rPr>
                <w:rFonts w:asciiTheme="minorHAnsi" w:hAnsiTheme="minorHAnsi" w:cstheme="minorHAnsi"/>
                <w:sz w:val="22"/>
                <w:szCs w:val="22"/>
              </w:rPr>
              <w:t xml:space="preserve"> Trade Unions</w:t>
            </w:r>
          </w:p>
        </w:tc>
        <w:tc>
          <w:tcPr>
            <w:tcW w:w="275"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20/09/2016</w:t>
            </w:r>
          </w:p>
        </w:tc>
      </w:tr>
      <w:tr w:rsidR="00FB48DA" w:rsidRPr="00CC0ADE" w:rsidTr="00714D59">
        <w:trPr>
          <w:cantSplit/>
        </w:trPr>
        <w:tc>
          <w:tcPr>
            <w:tcW w:w="6338" w:type="dxa"/>
            <w:gridSpan w:val="4"/>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5" w:type="dxa"/>
            <w:shd w:val="clear" w:color="auto" w:fill="auto"/>
          </w:tcPr>
          <w:p w:rsidR="00FB48DA" w:rsidRPr="00CC0ADE" w:rsidRDefault="00FB48DA" w:rsidP="00CC0ADE">
            <w:pPr>
              <w:pStyle w:val="Spacer"/>
              <w:rPr>
                <w:rFonts w:asciiTheme="minorHAnsi" w:hAnsiTheme="minorHAnsi" w:cstheme="minorHAnsi"/>
                <w:sz w:val="22"/>
              </w:rPr>
            </w:pPr>
          </w:p>
        </w:tc>
        <w:tc>
          <w:tcPr>
            <w:tcW w:w="2413" w:type="dxa"/>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Draft policy to Equality Rights &amp; Decency Group</w:t>
            </w:r>
          </w:p>
        </w:tc>
        <w:tc>
          <w:tcPr>
            <w:tcW w:w="275"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November 2016</w:t>
            </w:r>
          </w:p>
        </w:tc>
      </w:tr>
      <w:tr w:rsidR="00FB48DA" w:rsidRPr="00CC0ADE" w:rsidTr="00714D59">
        <w:trPr>
          <w:cantSplit/>
        </w:trPr>
        <w:tc>
          <w:tcPr>
            <w:tcW w:w="6338" w:type="dxa"/>
            <w:gridSpan w:val="4"/>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5" w:type="dxa"/>
            <w:shd w:val="clear" w:color="auto" w:fill="auto"/>
          </w:tcPr>
          <w:p w:rsidR="00FB48DA" w:rsidRPr="00CC0ADE" w:rsidRDefault="00FB48DA" w:rsidP="00CC0ADE">
            <w:pPr>
              <w:pStyle w:val="Spacer"/>
              <w:rPr>
                <w:rFonts w:asciiTheme="minorHAnsi" w:hAnsiTheme="minorHAnsi" w:cstheme="minorHAnsi"/>
                <w:sz w:val="22"/>
              </w:rPr>
            </w:pPr>
          </w:p>
        </w:tc>
        <w:tc>
          <w:tcPr>
            <w:tcW w:w="2413" w:type="dxa"/>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Draft policy to GLD</w:t>
            </w:r>
          </w:p>
        </w:tc>
        <w:tc>
          <w:tcPr>
            <w:tcW w:w="275"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November 2016</w:t>
            </w:r>
          </w:p>
        </w:tc>
      </w:tr>
      <w:tr w:rsidR="00FB48DA" w:rsidRPr="00CC0ADE" w:rsidTr="00714D59">
        <w:trPr>
          <w:cantSplit/>
        </w:trPr>
        <w:tc>
          <w:tcPr>
            <w:tcW w:w="6338" w:type="dxa"/>
            <w:gridSpan w:val="4"/>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5" w:type="dxa"/>
            <w:shd w:val="clear" w:color="auto" w:fill="auto"/>
          </w:tcPr>
          <w:p w:rsidR="00FB48DA" w:rsidRPr="00CC0ADE" w:rsidRDefault="00FB48DA" w:rsidP="00CC0ADE">
            <w:pPr>
              <w:pStyle w:val="Spacer"/>
              <w:rPr>
                <w:rFonts w:asciiTheme="minorHAnsi" w:hAnsiTheme="minorHAnsi" w:cstheme="minorHAnsi"/>
                <w:sz w:val="22"/>
              </w:rPr>
            </w:pPr>
          </w:p>
        </w:tc>
        <w:tc>
          <w:tcPr>
            <w:tcW w:w="2413" w:type="dxa"/>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Draft policy to Staff Networks</w:t>
            </w:r>
          </w:p>
        </w:tc>
        <w:tc>
          <w:tcPr>
            <w:tcW w:w="275"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September 2016</w:t>
            </w:r>
          </w:p>
        </w:tc>
      </w:tr>
      <w:tr w:rsidR="00FB48DA" w:rsidRPr="00CC0ADE" w:rsidTr="00714D59">
        <w:trPr>
          <w:cantSplit/>
        </w:trPr>
        <w:tc>
          <w:tcPr>
            <w:tcW w:w="9026" w:type="dxa"/>
            <w:gridSpan w:val="6"/>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Ongoing record: Key dates when equality was considered and actions taken as a result</w:t>
            </w:r>
          </w:p>
          <w:p w:rsidR="00136193" w:rsidRPr="00CC0ADE" w:rsidRDefault="00136193" w:rsidP="00CC0ADE">
            <w:pPr>
              <w:keepNext/>
              <w:rPr>
                <w:rFonts w:asciiTheme="minorHAnsi" w:hAnsiTheme="minorHAnsi" w:cstheme="minorHAnsi"/>
                <w:b/>
                <w:sz w:val="22"/>
                <w:szCs w:val="22"/>
              </w:rPr>
            </w:pPr>
          </w:p>
        </w:tc>
      </w:tr>
      <w:tr w:rsidR="00FB48DA" w:rsidRPr="00CC0ADE" w:rsidTr="00714D59">
        <w:trPr>
          <w:cantSplit/>
        </w:trPr>
        <w:tc>
          <w:tcPr>
            <w:tcW w:w="5994" w:type="dxa"/>
            <w:gridSpan w:val="2"/>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Context:</w:t>
            </w:r>
            <w:r w:rsidR="00CF0508" w:rsidRPr="00CC0ADE">
              <w:rPr>
                <w:rFonts w:asciiTheme="minorHAnsi" w:hAnsiTheme="minorHAnsi" w:cstheme="minorHAnsi"/>
                <w:sz w:val="22"/>
                <w:szCs w:val="22"/>
              </w:rPr>
              <w:t xml:space="preserve"> </w:t>
            </w:r>
          </w:p>
        </w:tc>
        <w:tc>
          <w:tcPr>
            <w:tcW w:w="279" w:type="dxa"/>
            <w:tcBorders>
              <w:left w:val="nil"/>
            </w:tcBorders>
            <w:shd w:val="clear" w:color="auto" w:fill="auto"/>
          </w:tcPr>
          <w:p w:rsidR="00FB48DA" w:rsidRPr="00CC0ADE" w:rsidRDefault="00FB48DA" w:rsidP="00CC0ADE">
            <w:pPr>
              <w:keepNext/>
              <w:rPr>
                <w:rFonts w:asciiTheme="minorHAnsi" w:hAnsiTheme="minorHAnsi" w:cstheme="minorHAnsi"/>
                <w:sz w:val="22"/>
                <w:szCs w:val="22"/>
              </w:rPr>
            </w:pPr>
          </w:p>
        </w:tc>
        <w:tc>
          <w:tcPr>
            <w:tcW w:w="2753" w:type="dxa"/>
            <w:gridSpan w:val="3"/>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Date:</w:t>
            </w:r>
            <w:r w:rsidR="00CF0508"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val="restart"/>
            <w:tcBorders>
              <w:top w:val="single" w:sz="4" w:space="0" w:color="auto"/>
              <w:left w:val="single" w:sz="4" w:space="0" w:color="auto"/>
              <w:right w:val="single" w:sz="4" w:space="0" w:color="auto"/>
            </w:tcBorders>
            <w:shd w:val="clear" w:color="auto" w:fill="auto"/>
          </w:tcPr>
          <w:p w:rsidR="00FB48DA" w:rsidRPr="00CC0ADE" w:rsidRDefault="007C55F1" w:rsidP="00CC0ADE">
            <w:pPr>
              <w:rPr>
                <w:rFonts w:asciiTheme="minorHAnsi" w:hAnsiTheme="minorHAnsi" w:cstheme="minorHAnsi"/>
                <w:sz w:val="22"/>
                <w:szCs w:val="22"/>
              </w:rPr>
            </w:pPr>
            <w:r w:rsidRPr="00CC0ADE">
              <w:rPr>
                <w:rFonts w:asciiTheme="minorHAnsi" w:hAnsiTheme="minorHAnsi" w:cstheme="minorHAnsi"/>
                <w:sz w:val="22"/>
                <w:szCs w:val="22"/>
              </w:rPr>
              <w:t xml:space="preserve">HMPPS </w:t>
            </w:r>
            <w:r w:rsidR="008E49C5" w:rsidRPr="00CC0ADE">
              <w:rPr>
                <w:rFonts w:asciiTheme="minorHAnsi" w:hAnsiTheme="minorHAnsi" w:cstheme="minorHAnsi"/>
                <w:noProof/>
                <w:sz w:val="22"/>
                <w:szCs w:val="22"/>
              </w:rPr>
              <w:t>Equalities, Interventions and Operational Practice Group</w:t>
            </w:r>
            <w:r w:rsidR="008E49C5" w:rsidRPr="00CC0ADE">
              <w:rPr>
                <w:rFonts w:asciiTheme="minorHAnsi" w:hAnsiTheme="minorHAnsi" w:cstheme="minorHAnsi"/>
                <w:sz w:val="22"/>
                <w:szCs w:val="22"/>
              </w:rPr>
              <w:t xml:space="preserve"> </w:t>
            </w:r>
            <w:r w:rsidR="00C275C7" w:rsidRPr="00CC0ADE">
              <w:rPr>
                <w:rFonts w:asciiTheme="minorHAnsi" w:hAnsiTheme="minorHAnsi" w:cstheme="minorHAnsi"/>
                <w:sz w:val="22"/>
                <w:szCs w:val="22"/>
              </w:rPr>
              <w:t>reviewed the policy and supplied comments which were incorporated</w:t>
            </w: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November 2016</w:t>
            </w:r>
          </w:p>
        </w:tc>
      </w:tr>
      <w:tr w:rsidR="00FB48DA" w:rsidRPr="00CC0ADE" w:rsidTr="00714D59">
        <w:trPr>
          <w:cantSplit/>
        </w:trPr>
        <w:tc>
          <w:tcPr>
            <w:tcW w:w="5994" w:type="dxa"/>
            <w:gridSpan w:val="2"/>
            <w:vMerge/>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Action / Owner:</w:t>
            </w:r>
            <w:r w:rsidR="00CF0508"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Jim Fraser</w:t>
            </w:r>
          </w:p>
        </w:tc>
      </w:tr>
      <w:tr w:rsidR="00FB48DA" w:rsidRPr="00CC0ADE" w:rsidTr="00714D59">
        <w:trPr>
          <w:cantSplit/>
        </w:trPr>
        <w:tc>
          <w:tcPr>
            <w:tcW w:w="5994" w:type="dxa"/>
            <w:gridSpan w:val="2"/>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9" w:type="dxa"/>
            <w:shd w:val="clear" w:color="auto" w:fill="auto"/>
          </w:tcPr>
          <w:p w:rsidR="00FB48DA" w:rsidRPr="00CC0ADE" w:rsidRDefault="00FB48DA" w:rsidP="00CC0ADE">
            <w:pPr>
              <w:pStyle w:val="Spacer"/>
              <w:rPr>
                <w:rFonts w:asciiTheme="minorHAnsi" w:hAnsiTheme="minorHAnsi" w:cstheme="minorHAnsi"/>
                <w:sz w:val="22"/>
              </w:rPr>
            </w:pPr>
          </w:p>
        </w:tc>
        <w:tc>
          <w:tcPr>
            <w:tcW w:w="2753" w:type="dxa"/>
            <w:gridSpan w:val="3"/>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5994" w:type="dxa"/>
            <w:gridSpan w:val="2"/>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Context:</w:t>
            </w:r>
            <w:r w:rsidR="00CF0508" w:rsidRPr="00CC0ADE">
              <w:rPr>
                <w:rFonts w:asciiTheme="minorHAnsi" w:hAnsiTheme="minorHAnsi" w:cstheme="minorHAnsi"/>
                <w:sz w:val="22"/>
                <w:szCs w:val="22"/>
              </w:rPr>
              <w:t xml:space="preserve"> </w:t>
            </w:r>
          </w:p>
        </w:tc>
        <w:tc>
          <w:tcPr>
            <w:tcW w:w="279" w:type="dxa"/>
            <w:tcBorders>
              <w:left w:val="nil"/>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Date:</w:t>
            </w:r>
            <w:r w:rsidR="00CF0508"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val="restart"/>
            <w:tcBorders>
              <w:top w:val="single" w:sz="4" w:space="0" w:color="auto"/>
              <w:left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Meeting with the Staff Networks Disability Chair – comments incorporated in policy</w:t>
            </w:r>
            <w:r w:rsidR="003333A5" w:rsidRPr="00CC0ADE">
              <w:rPr>
                <w:rFonts w:asciiTheme="minorHAnsi" w:hAnsiTheme="minorHAnsi" w:cstheme="minorHAnsi"/>
                <w:sz w:val="22"/>
                <w:szCs w:val="22"/>
              </w:rPr>
              <w:t>. Further meetings arranged to discuss supporting guidance.</w:t>
            </w:r>
          </w:p>
          <w:p w:rsidR="007C55F1" w:rsidRPr="00CC0ADE" w:rsidRDefault="007C55F1" w:rsidP="00CC0ADE">
            <w:pPr>
              <w:rPr>
                <w:rFonts w:asciiTheme="minorHAnsi" w:hAnsiTheme="minorHAnsi" w:cstheme="minorHAnsi"/>
                <w:sz w:val="22"/>
                <w:szCs w:val="22"/>
              </w:rPr>
            </w:pP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September 2016</w:t>
            </w:r>
            <w:r w:rsidR="007C7F05" w:rsidRPr="00CC0ADE">
              <w:rPr>
                <w:rFonts w:asciiTheme="minorHAnsi" w:hAnsiTheme="minorHAnsi" w:cstheme="minorHAnsi"/>
                <w:sz w:val="22"/>
                <w:szCs w:val="22"/>
              </w:rPr>
              <w:t xml:space="preserve"> – January 2018</w:t>
            </w:r>
          </w:p>
        </w:tc>
      </w:tr>
      <w:tr w:rsidR="00FB48DA" w:rsidRPr="00CC0ADE" w:rsidTr="00714D59">
        <w:trPr>
          <w:cantSplit/>
        </w:trPr>
        <w:tc>
          <w:tcPr>
            <w:tcW w:w="5994" w:type="dxa"/>
            <w:gridSpan w:val="2"/>
            <w:vMerge/>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Action / Owner:</w:t>
            </w:r>
            <w:r w:rsidR="00CF0508"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Jim Fraser</w:t>
            </w:r>
          </w:p>
        </w:tc>
      </w:tr>
      <w:tr w:rsidR="00FB48DA" w:rsidRPr="00CC0ADE" w:rsidTr="00714D59">
        <w:trPr>
          <w:cantSplit/>
        </w:trPr>
        <w:tc>
          <w:tcPr>
            <w:tcW w:w="5994" w:type="dxa"/>
            <w:gridSpan w:val="2"/>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9" w:type="dxa"/>
            <w:shd w:val="clear" w:color="auto" w:fill="auto"/>
          </w:tcPr>
          <w:p w:rsidR="00FB48DA" w:rsidRPr="00CC0ADE" w:rsidRDefault="00FB48DA" w:rsidP="00CC0ADE">
            <w:pPr>
              <w:pStyle w:val="Spacer"/>
              <w:rPr>
                <w:rFonts w:asciiTheme="minorHAnsi" w:hAnsiTheme="minorHAnsi" w:cstheme="minorHAnsi"/>
                <w:sz w:val="22"/>
              </w:rPr>
            </w:pPr>
          </w:p>
        </w:tc>
        <w:tc>
          <w:tcPr>
            <w:tcW w:w="2753" w:type="dxa"/>
            <w:gridSpan w:val="3"/>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8E49C5">
        <w:trPr>
          <w:cantSplit/>
        </w:trPr>
        <w:tc>
          <w:tcPr>
            <w:tcW w:w="5994" w:type="dxa"/>
            <w:gridSpan w:val="2"/>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Context:</w:t>
            </w:r>
            <w:r w:rsidR="00CF0508" w:rsidRPr="00CC0ADE">
              <w:rPr>
                <w:rFonts w:asciiTheme="minorHAnsi" w:hAnsiTheme="minorHAnsi" w:cstheme="minorHAnsi"/>
                <w:sz w:val="22"/>
                <w:szCs w:val="22"/>
              </w:rPr>
              <w:t xml:space="preserve"> </w:t>
            </w:r>
          </w:p>
        </w:tc>
        <w:tc>
          <w:tcPr>
            <w:tcW w:w="279" w:type="dxa"/>
            <w:tcBorders>
              <w:left w:val="nil"/>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Date:</w:t>
            </w:r>
            <w:r w:rsidR="00714D59" w:rsidRPr="00CC0ADE">
              <w:rPr>
                <w:rFonts w:asciiTheme="minorHAnsi" w:hAnsiTheme="minorHAnsi" w:cstheme="minorHAnsi"/>
                <w:sz w:val="22"/>
                <w:szCs w:val="22"/>
              </w:rPr>
              <w:t xml:space="preserve"> </w:t>
            </w:r>
          </w:p>
        </w:tc>
      </w:tr>
      <w:tr w:rsidR="00FB48DA" w:rsidRPr="00CC0ADE" w:rsidTr="008E49C5">
        <w:trPr>
          <w:cantSplit/>
        </w:trPr>
        <w:tc>
          <w:tcPr>
            <w:tcW w:w="59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C55F1" w:rsidRPr="00CC0ADE" w:rsidRDefault="00C275C7" w:rsidP="00CC0ADE">
            <w:pPr>
              <w:rPr>
                <w:rFonts w:asciiTheme="minorHAnsi" w:hAnsiTheme="minorHAnsi" w:cstheme="minorHAnsi"/>
                <w:sz w:val="22"/>
                <w:szCs w:val="22"/>
              </w:rPr>
            </w:pPr>
            <w:r w:rsidRPr="00CC0ADE">
              <w:rPr>
                <w:rFonts w:asciiTheme="minorHAnsi" w:hAnsiTheme="minorHAnsi" w:cstheme="minorHAnsi"/>
                <w:sz w:val="22"/>
                <w:szCs w:val="22"/>
              </w:rPr>
              <w:t xml:space="preserve">Trade Union consultation </w:t>
            </w:r>
            <w:r w:rsidR="00CF0508" w:rsidRPr="00CC0ADE">
              <w:rPr>
                <w:rFonts w:asciiTheme="minorHAnsi" w:hAnsiTheme="minorHAnsi" w:cstheme="minorHAnsi"/>
                <w:sz w:val="22"/>
                <w:szCs w:val="22"/>
              </w:rPr>
              <w:t>meetings with POA, NTUS and Napo. A number of issues were raised, some of which were incorporated in the policy, some of which were not</w:t>
            </w:r>
            <w:r w:rsidR="007C55F1" w:rsidRPr="00CC0ADE">
              <w:rPr>
                <w:rFonts w:asciiTheme="minorHAnsi" w:hAnsiTheme="minorHAnsi" w:cstheme="minorHAnsi"/>
                <w:sz w:val="22"/>
                <w:szCs w:val="22"/>
              </w:rPr>
              <w:t>. The PG</w:t>
            </w:r>
            <w:r w:rsidR="008E49C5" w:rsidRPr="00CC0ADE">
              <w:rPr>
                <w:rFonts w:asciiTheme="minorHAnsi" w:hAnsiTheme="minorHAnsi" w:cstheme="minorHAnsi"/>
                <w:sz w:val="22"/>
                <w:szCs w:val="22"/>
              </w:rPr>
              <w:t>A</w:t>
            </w:r>
            <w:r w:rsidR="007C55F1" w:rsidRPr="00CC0ADE">
              <w:rPr>
                <w:rFonts w:asciiTheme="minorHAnsi" w:hAnsiTheme="minorHAnsi" w:cstheme="minorHAnsi"/>
                <w:sz w:val="22"/>
                <w:szCs w:val="22"/>
              </w:rPr>
              <w:t>, Unison &amp; GMB SCOOP declined the invitation to meet.</w:t>
            </w: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A5D41" w:rsidP="00CC0ADE">
            <w:pPr>
              <w:rPr>
                <w:rFonts w:asciiTheme="minorHAnsi" w:hAnsiTheme="minorHAnsi" w:cstheme="minorHAnsi"/>
                <w:sz w:val="22"/>
                <w:szCs w:val="22"/>
              </w:rPr>
            </w:pPr>
            <w:r w:rsidRPr="00CC0ADE">
              <w:rPr>
                <w:rFonts w:asciiTheme="minorHAnsi" w:hAnsiTheme="minorHAnsi" w:cstheme="minorHAnsi"/>
                <w:sz w:val="22"/>
                <w:szCs w:val="22"/>
              </w:rPr>
              <w:t>November 2016</w:t>
            </w:r>
          </w:p>
        </w:tc>
      </w:tr>
      <w:tr w:rsidR="00FB48DA" w:rsidRPr="00CC0ADE" w:rsidTr="008E49C5">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Action / Owner:</w:t>
            </w:r>
            <w:r w:rsidR="00CF0508" w:rsidRPr="00CC0ADE">
              <w:rPr>
                <w:rFonts w:asciiTheme="minorHAnsi" w:hAnsiTheme="minorHAnsi" w:cstheme="minorHAnsi"/>
                <w:sz w:val="22"/>
                <w:szCs w:val="22"/>
              </w:rPr>
              <w:t xml:space="preserve"> </w:t>
            </w:r>
          </w:p>
        </w:tc>
      </w:tr>
      <w:tr w:rsidR="00FB48DA" w:rsidRPr="00CC0ADE" w:rsidTr="008E49C5">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F0508" w:rsidP="00CC0ADE">
            <w:pPr>
              <w:rPr>
                <w:rFonts w:asciiTheme="minorHAnsi" w:hAnsiTheme="minorHAnsi" w:cstheme="minorHAnsi"/>
                <w:sz w:val="22"/>
                <w:szCs w:val="22"/>
              </w:rPr>
            </w:pPr>
            <w:r w:rsidRPr="00CC0ADE">
              <w:rPr>
                <w:rFonts w:asciiTheme="minorHAnsi" w:hAnsiTheme="minorHAnsi" w:cstheme="minorHAnsi"/>
                <w:sz w:val="22"/>
                <w:szCs w:val="22"/>
              </w:rPr>
              <w:t>Jim Fraser</w:t>
            </w:r>
          </w:p>
        </w:tc>
      </w:tr>
      <w:tr w:rsidR="008E49C5" w:rsidRPr="00CC0ADE" w:rsidTr="008E49C5">
        <w:trPr>
          <w:cantSplit/>
        </w:trPr>
        <w:tc>
          <w:tcPr>
            <w:tcW w:w="5994" w:type="dxa"/>
            <w:gridSpan w:val="2"/>
            <w:tcBorders>
              <w:top w:val="single" w:sz="4" w:space="0" w:color="auto"/>
              <w:bottom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Context:</w:t>
            </w:r>
          </w:p>
        </w:tc>
        <w:tc>
          <w:tcPr>
            <w:tcW w:w="279" w:type="dxa"/>
            <w:shd w:val="clear" w:color="auto" w:fill="auto"/>
          </w:tcPr>
          <w:p w:rsidR="008E49C5" w:rsidRPr="00CC0ADE" w:rsidRDefault="008E49C5" w:rsidP="00CC0ADE">
            <w:pPr>
              <w:pStyle w:val="Spacer"/>
              <w:rPr>
                <w:rFonts w:asciiTheme="minorHAnsi" w:hAnsiTheme="minorHAnsi" w:cstheme="minorHAnsi"/>
                <w:sz w:val="22"/>
              </w:rPr>
            </w:pPr>
          </w:p>
        </w:tc>
        <w:tc>
          <w:tcPr>
            <w:tcW w:w="2753" w:type="dxa"/>
            <w:gridSpan w:val="3"/>
            <w:tcBorders>
              <w:top w:val="single" w:sz="4" w:space="0" w:color="auto"/>
              <w:bottom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Date:</w:t>
            </w:r>
          </w:p>
        </w:tc>
      </w:tr>
      <w:tr w:rsidR="008E49C5" w:rsidRPr="00CC0ADE" w:rsidTr="008B50B7">
        <w:trPr>
          <w:cantSplit/>
        </w:trPr>
        <w:tc>
          <w:tcPr>
            <w:tcW w:w="5994" w:type="dxa"/>
            <w:gridSpan w:val="2"/>
            <w:vMerge w:val="restart"/>
            <w:tcBorders>
              <w:top w:val="single" w:sz="4" w:space="0" w:color="auto"/>
              <w:left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GLD asked to review the draft policy and specifically the updated paragraph related to disability.</w:t>
            </w:r>
          </w:p>
        </w:tc>
        <w:tc>
          <w:tcPr>
            <w:tcW w:w="279" w:type="dxa"/>
            <w:tcBorders>
              <w:left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November 2016</w:t>
            </w:r>
          </w:p>
        </w:tc>
      </w:tr>
      <w:tr w:rsidR="008E49C5" w:rsidRPr="00CC0ADE" w:rsidTr="008B50B7">
        <w:trPr>
          <w:cantSplit/>
        </w:trPr>
        <w:tc>
          <w:tcPr>
            <w:tcW w:w="5994" w:type="dxa"/>
            <w:gridSpan w:val="2"/>
            <w:vMerge/>
            <w:tcBorders>
              <w:left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tc>
        <w:tc>
          <w:tcPr>
            <w:tcW w:w="279" w:type="dxa"/>
            <w:tcBorders>
              <w:lef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tc>
        <w:tc>
          <w:tcPr>
            <w:tcW w:w="2753" w:type="dxa"/>
            <w:gridSpan w:val="3"/>
            <w:tcBorders>
              <w:top w:val="single" w:sz="4" w:space="0" w:color="auto"/>
              <w:bottom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Action / Owner</w:t>
            </w:r>
          </w:p>
        </w:tc>
      </w:tr>
      <w:tr w:rsidR="008E49C5" w:rsidRPr="00CC0ADE" w:rsidTr="008B50B7">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tc>
        <w:tc>
          <w:tcPr>
            <w:tcW w:w="279" w:type="dxa"/>
            <w:tcBorders>
              <w:left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8E49C5" w:rsidRPr="00CC0ADE" w:rsidRDefault="008E49C5" w:rsidP="00CC0ADE">
            <w:pPr>
              <w:pStyle w:val="Spacer"/>
              <w:rPr>
                <w:rFonts w:asciiTheme="minorHAnsi" w:hAnsiTheme="minorHAnsi" w:cstheme="minorHAnsi"/>
                <w:sz w:val="22"/>
              </w:rPr>
            </w:pPr>
            <w:r w:rsidRPr="00CC0ADE">
              <w:rPr>
                <w:rFonts w:asciiTheme="minorHAnsi" w:hAnsiTheme="minorHAnsi" w:cstheme="minorHAnsi"/>
                <w:sz w:val="22"/>
              </w:rPr>
              <w:t>Jim Fraser</w:t>
            </w:r>
          </w:p>
        </w:tc>
      </w:tr>
      <w:tr w:rsidR="00FB48DA" w:rsidRPr="00CC0ADE" w:rsidTr="00B94110">
        <w:trPr>
          <w:cantSplit/>
        </w:trPr>
        <w:tc>
          <w:tcPr>
            <w:tcW w:w="5994" w:type="dxa"/>
            <w:gridSpan w:val="2"/>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c>
          <w:tcPr>
            <w:tcW w:w="279" w:type="dxa"/>
            <w:shd w:val="clear" w:color="auto" w:fill="auto"/>
          </w:tcPr>
          <w:p w:rsidR="00FB48DA" w:rsidRPr="00CC0ADE" w:rsidRDefault="00FB48DA" w:rsidP="00CC0ADE">
            <w:pPr>
              <w:pStyle w:val="Spacer"/>
              <w:rPr>
                <w:rFonts w:asciiTheme="minorHAnsi" w:hAnsiTheme="minorHAnsi" w:cstheme="minorHAnsi"/>
                <w:sz w:val="22"/>
              </w:rPr>
            </w:pPr>
          </w:p>
        </w:tc>
        <w:tc>
          <w:tcPr>
            <w:tcW w:w="2753" w:type="dxa"/>
            <w:gridSpan w:val="3"/>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B94110" w:rsidRPr="00CC0ADE" w:rsidTr="00B94110">
        <w:trPr>
          <w:cantSplit/>
        </w:trPr>
        <w:tc>
          <w:tcPr>
            <w:tcW w:w="5994" w:type="dxa"/>
            <w:gridSpan w:val="2"/>
            <w:tcBorders>
              <w:bottom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r w:rsidRPr="00CC0ADE">
              <w:rPr>
                <w:rFonts w:asciiTheme="minorHAnsi" w:hAnsiTheme="minorHAnsi" w:cstheme="minorHAnsi"/>
                <w:sz w:val="22"/>
              </w:rPr>
              <w:t>Context:</w:t>
            </w:r>
          </w:p>
        </w:tc>
        <w:tc>
          <w:tcPr>
            <w:tcW w:w="279" w:type="dxa"/>
            <w:shd w:val="clear" w:color="auto" w:fill="auto"/>
          </w:tcPr>
          <w:p w:rsidR="00B94110" w:rsidRPr="00CC0ADE" w:rsidRDefault="00B94110" w:rsidP="00CC0ADE">
            <w:pPr>
              <w:pStyle w:val="Spacer"/>
              <w:rPr>
                <w:rFonts w:asciiTheme="minorHAnsi" w:hAnsiTheme="minorHAnsi" w:cstheme="minorHAnsi"/>
                <w:sz w:val="22"/>
              </w:rPr>
            </w:pPr>
          </w:p>
        </w:tc>
        <w:tc>
          <w:tcPr>
            <w:tcW w:w="2753" w:type="dxa"/>
            <w:gridSpan w:val="3"/>
            <w:tcBorders>
              <w:bottom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r w:rsidRPr="00CC0ADE">
              <w:rPr>
                <w:rFonts w:asciiTheme="minorHAnsi" w:hAnsiTheme="minorHAnsi" w:cstheme="minorHAnsi"/>
                <w:sz w:val="22"/>
              </w:rPr>
              <w:t>Date:</w:t>
            </w:r>
          </w:p>
        </w:tc>
      </w:tr>
      <w:tr w:rsidR="00B94110" w:rsidRPr="00CC0ADE" w:rsidTr="008F6C03">
        <w:trPr>
          <w:cantSplit/>
        </w:trPr>
        <w:tc>
          <w:tcPr>
            <w:tcW w:w="5994" w:type="dxa"/>
            <w:gridSpan w:val="2"/>
            <w:vMerge w:val="restart"/>
            <w:tcBorders>
              <w:top w:val="single" w:sz="4" w:space="0" w:color="auto"/>
              <w:left w:val="single" w:sz="4" w:space="0" w:color="auto"/>
              <w:right w:val="single" w:sz="4" w:space="0" w:color="auto"/>
            </w:tcBorders>
            <w:shd w:val="clear" w:color="auto" w:fill="auto"/>
          </w:tcPr>
          <w:p w:rsidR="00B94110" w:rsidRPr="00CC0ADE" w:rsidRDefault="00B94110" w:rsidP="00CC0ADE">
            <w:pPr>
              <w:rPr>
                <w:rFonts w:asciiTheme="minorHAnsi" w:hAnsiTheme="minorHAnsi" w:cstheme="minorHAnsi"/>
                <w:sz w:val="22"/>
                <w:szCs w:val="22"/>
              </w:rPr>
            </w:pPr>
            <w:r w:rsidRPr="00CC0ADE">
              <w:rPr>
                <w:rFonts w:asciiTheme="minorHAnsi" w:hAnsiTheme="minorHAnsi" w:cstheme="minorHAnsi"/>
                <w:sz w:val="22"/>
                <w:szCs w:val="22"/>
              </w:rPr>
              <w:t>Following a meeting between the POA and Michael Spurr earlier in the year, Michael agreed that the HR Directorate would draft some additional guidance following a specific request from the POA and this guidance supports the new policy and the guidance already available to staff and managers. A working group was set up and additional guidance was produced. This was later shared with NTUS and Napo and HMPPS HR Directorate will be meeting with NTUS in October.</w:t>
            </w:r>
          </w:p>
        </w:tc>
        <w:tc>
          <w:tcPr>
            <w:tcW w:w="279" w:type="dxa"/>
            <w:tcBorders>
              <w:left w:val="single" w:sz="4" w:space="0" w:color="auto"/>
              <w:righ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B94110" w:rsidRPr="00CC0ADE" w:rsidRDefault="002C32C2" w:rsidP="00CC0ADE">
            <w:pPr>
              <w:pStyle w:val="Spacer"/>
              <w:rPr>
                <w:rFonts w:asciiTheme="minorHAnsi" w:hAnsiTheme="minorHAnsi" w:cstheme="minorHAnsi"/>
                <w:sz w:val="22"/>
              </w:rPr>
            </w:pPr>
            <w:r w:rsidRPr="00CC0ADE">
              <w:rPr>
                <w:rFonts w:asciiTheme="minorHAnsi" w:hAnsiTheme="minorHAnsi" w:cstheme="minorHAnsi"/>
                <w:sz w:val="22"/>
              </w:rPr>
              <w:t xml:space="preserve">June – </w:t>
            </w:r>
            <w:r w:rsidR="007C7F05" w:rsidRPr="00CC0ADE">
              <w:rPr>
                <w:rFonts w:asciiTheme="minorHAnsi" w:hAnsiTheme="minorHAnsi" w:cstheme="minorHAnsi"/>
                <w:sz w:val="22"/>
              </w:rPr>
              <w:t>August</w:t>
            </w:r>
            <w:r w:rsidR="00B94110" w:rsidRPr="00CC0ADE">
              <w:rPr>
                <w:rFonts w:asciiTheme="minorHAnsi" w:hAnsiTheme="minorHAnsi" w:cstheme="minorHAnsi"/>
                <w:sz w:val="22"/>
              </w:rPr>
              <w:t xml:space="preserve"> 2017</w:t>
            </w:r>
          </w:p>
        </w:tc>
      </w:tr>
      <w:tr w:rsidR="00B94110" w:rsidRPr="00CC0ADE" w:rsidTr="008F6C03">
        <w:trPr>
          <w:cantSplit/>
        </w:trPr>
        <w:tc>
          <w:tcPr>
            <w:tcW w:w="5994" w:type="dxa"/>
            <w:gridSpan w:val="2"/>
            <w:vMerge/>
            <w:tcBorders>
              <w:left w:val="single" w:sz="4" w:space="0" w:color="auto"/>
              <w:righ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tc>
        <w:tc>
          <w:tcPr>
            <w:tcW w:w="279" w:type="dxa"/>
            <w:tcBorders>
              <w:lef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tc>
        <w:tc>
          <w:tcPr>
            <w:tcW w:w="2753" w:type="dxa"/>
            <w:gridSpan w:val="3"/>
            <w:tcBorders>
              <w:top w:val="single" w:sz="4" w:space="0" w:color="auto"/>
              <w:bottom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r w:rsidRPr="00CC0ADE">
              <w:rPr>
                <w:rFonts w:asciiTheme="minorHAnsi" w:hAnsiTheme="minorHAnsi" w:cstheme="minorHAnsi"/>
                <w:sz w:val="22"/>
              </w:rPr>
              <w:t>Action / Owner:</w:t>
            </w:r>
          </w:p>
        </w:tc>
      </w:tr>
      <w:tr w:rsidR="00B94110" w:rsidRPr="00CC0ADE" w:rsidTr="008F6C03">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tc>
        <w:tc>
          <w:tcPr>
            <w:tcW w:w="279" w:type="dxa"/>
            <w:tcBorders>
              <w:left w:val="single" w:sz="4" w:space="0" w:color="auto"/>
              <w:righ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r w:rsidRPr="00CC0ADE">
              <w:rPr>
                <w:rFonts w:asciiTheme="minorHAnsi" w:hAnsiTheme="minorHAnsi" w:cstheme="minorHAnsi"/>
                <w:sz w:val="22"/>
              </w:rPr>
              <w:t>Jim Fraser</w:t>
            </w:r>
          </w:p>
        </w:tc>
      </w:tr>
      <w:tr w:rsidR="00B94110" w:rsidRPr="00CC0ADE" w:rsidTr="007C7F05">
        <w:trPr>
          <w:cantSplit/>
        </w:trPr>
        <w:tc>
          <w:tcPr>
            <w:tcW w:w="5994" w:type="dxa"/>
            <w:gridSpan w:val="2"/>
            <w:tcBorders>
              <w:top w:val="single" w:sz="4" w:space="0" w:color="auto"/>
              <w:bottom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p w:rsidR="007C7F05" w:rsidRPr="00CC0ADE" w:rsidRDefault="007C7F05" w:rsidP="00CC0ADE">
            <w:pPr>
              <w:pStyle w:val="Spacer"/>
              <w:rPr>
                <w:rFonts w:asciiTheme="minorHAnsi" w:hAnsiTheme="minorHAnsi" w:cstheme="minorHAnsi"/>
                <w:sz w:val="22"/>
              </w:rPr>
            </w:pPr>
            <w:r w:rsidRPr="00CC0ADE">
              <w:rPr>
                <w:rFonts w:asciiTheme="minorHAnsi" w:hAnsiTheme="minorHAnsi" w:cstheme="minorHAnsi"/>
                <w:sz w:val="22"/>
              </w:rPr>
              <w:t>Context:</w:t>
            </w:r>
          </w:p>
        </w:tc>
        <w:tc>
          <w:tcPr>
            <w:tcW w:w="279" w:type="dxa"/>
            <w:shd w:val="clear" w:color="auto" w:fill="auto"/>
          </w:tcPr>
          <w:p w:rsidR="00B94110" w:rsidRPr="00CC0ADE" w:rsidRDefault="00B94110" w:rsidP="00CC0ADE">
            <w:pPr>
              <w:pStyle w:val="Spacer"/>
              <w:rPr>
                <w:rFonts w:asciiTheme="minorHAnsi" w:hAnsiTheme="minorHAnsi" w:cstheme="minorHAnsi"/>
                <w:sz w:val="22"/>
              </w:rPr>
            </w:pPr>
          </w:p>
        </w:tc>
        <w:tc>
          <w:tcPr>
            <w:tcW w:w="2753" w:type="dxa"/>
            <w:gridSpan w:val="3"/>
            <w:tcBorders>
              <w:top w:val="single" w:sz="4" w:space="0" w:color="auto"/>
              <w:bottom w:val="single" w:sz="4" w:space="0" w:color="auto"/>
            </w:tcBorders>
            <w:shd w:val="clear" w:color="auto" w:fill="auto"/>
          </w:tcPr>
          <w:p w:rsidR="00B94110" w:rsidRPr="00CC0ADE" w:rsidRDefault="00B94110" w:rsidP="00CC0ADE">
            <w:pPr>
              <w:pStyle w:val="Spacer"/>
              <w:rPr>
                <w:rFonts w:asciiTheme="minorHAnsi" w:hAnsiTheme="minorHAnsi" w:cstheme="minorHAnsi"/>
                <w:sz w:val="22"/>
              </w:rPr>
            </w:pPr>
          </w:p>
          <w:p w:rsidR="007C7F05" w:rsidRPr="00CC0ADE" w:rsidRDefault="007C7F05" w:rsidP="00CC0ADE">
            <w:pPr>
              <w:pStyle w:val="Spacer"/>
              <w:rPr>
                <w:rFonts w:asciiTheme="minorHAnsi" w:hAnsiTheme="minorHAnsi" w:cstheme="minorHAnsi"/>
                <w:sz w:val="22"/>
              </w:rPr>
            </w:pPr>
            <w:r w:rsidRPr="00CC0ADE">
              <w:rPr>
                <w:rFonts w:asciiTheme="minorHAnsi" w:hAnsiTheme="minorHAnsi" w:cstheme="minorHAnsi"/>
                <w:sz w:val="22"/>
              </w:rPr>
              <w:t>Date:</w:t>
            </w:r>
          </w:p>
        </w:tc>
      </w:tr>
      <w:tr w:rsidR="007C7F05" w:rsidRPr="00CC0ADE" w:rsidTr="007C7F05">
        <w:trPr>
          <w:cantSplit/>
        </w:trPr>
        <w:tc>
          <w:tcPr>
            <w:tcW w:w="599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C7F05" w:rsidRPr="00CC0ADE" w:rsidRDefault="002C32C2" w:rsidP="00CC0ADE">
            <w:pPr>
              <w:pStyle w:val="Spacer"/>
              <w:rPr>
                <w:rFonts w:asciiTheme="minorHAnsi" w:hAnsiTheme="minorHAnsi" w:cstheme="minorHAnsi"/>
                <w:sz w:val="22"/>
              </w:rPr>
            </w:pPr>
            <w:r w:rsidRPr="00CC0ADE">
              <w:rPr>
                <w:rFonts w:asciiTheme="minorHAnsi" w:hAnsiTheme="minorHAnsi" w:cstheme="minorHAnsi"/>
                <w:sz w:val="22"/>
              </w:rPr>
              <w:t>Ongoing dialogue with POA, NTUS and Napo to discuss updating the ‘How to Guides’</w:t>
            </w:r>
          </w:p>
        </w:tc>
        <w:tc>
          <w:tcPr>
            <w:tcW w:w="279" w:type="dxa"/>
            <w:tcBorders>
              <w:left w:val="single" w:sz="4" w:space="0" w:color="auto"/>
              <w:righ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7C7F05" w:rsidRPr="00CC0ADE" w:rsidRDefault="002C32C2" w:rsidP="00CC0ADE">
            <w:pPr>
              <w:pStyle w:val="Spacer"/>
              <w:rPr>
                <w:rFonts w:asciiTheme="minorHAnsi" w:hAnsiTheme="minorHAnsi" w:cstheme="minorHAnsi"/>
                <w:sz w:val="22"/>
              </w:rPr>
            </w:pPr>
            <w:r w:rsidRPr="00CC0ADE">
              <w:rPr>
                <w:rFonts w:asciiTheme="minorHAnsi" w:hAnsiTheme="minorHAnsi" w:cstheme="minorHAnsi"/>
                <w:sz w:val="22"/>
              </w:rPr>
              <w:t>April – October 2017</w:t>
            </w:r>
          </w:p>
        </w:tc>
      </w:tr>
      <w:tr w:rsidR="007C7F05" w:rsidRPr="00CC0ADE" w:rsidTr="007C7F05">
        <w:trPr>
          <w:cantSplit/>
        </w:trPr>
        <w:tc>
          <w:tcPr>
            <w:tcW w:w="5994" w:type="dxa"/>
            <w:gridSpan w:val="2"/>
            <w:vMerge/>
            <w:tcBorders>
              <w:top w:val="single" w:sz="4" w:space="0" w:color="auto"/>
              <w:left w:val="single" w:sz="4" w:space="0" w:color="auto"/>
              <w:bottom w:val="single" w:sz="4" w:space="0" w:color="auto"/>
              <w:righ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9" w:type="dxa"/>
            <w:tcBorders>
              <w:lef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53" w:type="dxa"/>
            <w:gridSpan w:val="3"/>
            <w:tcBorders>
              <w:top w:val="single" w:sz="4" w:space="0" w:color="auto"/>
              <w:bottom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r w:rsidRPr="00CC0ADE">
              <w:rPr>
                <w:rFonts w:asciiTheme="minorHAnsi" w:hAnsiTheme="minorHAnsi" w:cstheme="minorHAnsi"/>
                <w:sz w:val="22"/>
              </w:rPr>
              <w:t>Action / Owner:</w:t>
            </w:r>
          </w:p>
        </w:tc>
      </w:tr>
      <w:tr w:rsidR="007C7F05" w:rsidRPr="00CC0ADE" w:rsidTr="007C7F05">
        <w:trPr>
          <w:cantSplit/>
        </w:trPr>
        <w:tc>
          <w:tcPr>
            <w:tcW w:w="5994" w:type="dxa"/>
            <w:gridSpan w:val="2"/>
            <w:vMerge/>
            <w:tcBorders>
              <w:top w:val="single" w:sz="4" w:space="0" w:color="auto"/>
              <w:left w:val="single" w:sz="4" w:space="0" w:color="auto"/>
              <w:bottom w:val="single" w:sz="4" w:space="0" w:color="auto"/>
              <w:righ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9" w:type="dxa"/>
            <w:tcBorders>
              <w:left w:val="single" w:sz="4" w:space="0" w:color="auto"/>
              <w:righ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r w:rsidRPr="00CC0ADE">
              <w:rPr>
                <w:rFonts w:asciiTheme="minorHAnsi" w:hAnsiTheme="minorHAnsi" w:cstheme="minorHAnsi"/>
                <w:sz w:val="22"/>
              </w:rPr>
              <w:t>Jim Fraser</w:t>
            </w:r>
          </w:p>
        </w:tc>
      </w:tr>
      <w:tr w:rsidR="007C7F05" w:rsidRPr="00CC0ADE" w:rsidTr="007C7F05">
        <w:trPr>
          <w:cantSplit/>
        </w:trPr>
        <w:tc>
          <w:tcPr>
            <w:tcW w:w="5994" w:type="dxa"/>
            <w:gridSpan w:val="2"/>
            <w:tcBorders>
              <w:top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c>
          <w:tcPr>
            <w:tcW w:w="279" w:type="dxa"/>
            <w:shd w:val="clear" w:color="auto" w:fill="auto"/>
          </w:tcPr>
          <w:p w:rsidR="007C7F05" w:rsidRPr="00CC0ADE" w:rsidRDefault="007C7F05" w:rsidP="00CC0ADE">
            <w:pPr>
              <w:pStyle w:val="Spacer"/>
              <w:rPr>
                <w:rFonts w:asciiTheme="minorHAnsi" w:hAnsiTheme="minorHAnsi" w:cstheme="minorHAnsi"/>
                <w:sz w:val="22"/>
              </w:rPr>
            </w:pPr>
          </w:p>
        </w:tc>
        <w:tc>
          <w:tcPr>
            <w:tcW w:w="2753" w:type="dxa"/>
            <w:gridSpan w:val="3"/>
            <w:tcBorders>
              <w:top w:val="single" w:sz="4" w:space="0" w:color="auto"/>
            </w:tcBorders>
            <w:shd w:val="clear" w:color="auto" w:fill="auto"/>
          </w:tcPr>
          <w:p w:rsidR="007C7F05" w:rsidRPr="00CC0ADE" w:rsidRDefault="007C7F05" w:rsidP="00CC0ADE">
            <w:pPr>
              <w:pStyle w:val="Spacer"/>
              <w:rPr>
                <w:rFonts w:asciiTheme="minorHAnsi" w:hAnsiTheme="minorHAnsi" w:cstheme="minorHAnsi"/>
                <w:sz w:val="22"/>
              </w:rPr>
            </w:pPr>
          </w:p>
        </w:tc>
      </w:tr>
      <w:tr w:rsidR="00FB48DA" w:rsidRPr="00CC0ADE" w:rsidTr="00714D59">
        <w:trPr>
          <w:cantSplit/>
        </w:trPr>
        <w:tc>
          <w:tcPr>
            <w:tcW w:w="5994" w:type="dxa"/>
            <w:gridSpan w:val="2"/>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Context:</w:t>
            </w:r>
            <w:r w:rsidR="00C275C7" w:rsidRPr="00CC0ADE">
              <w:rPr>
                <w:rFonts w:asciiTheme="minorHAnsi" w:hAnsiTheme="minorHAnsi" w:cstheme="minorHAnsi"/>
                <w:sz w:val="22"/>
                <w:szCs w:val="22"/>
              </w:rPr>
              <w:t xml:space="preserve"> </w:t>
            </w:r>
          </w:p>
        </w:tc>
        <w:tc>
          <w:tcPr>
            <w:tcW w:w="279" w:type="dxa"/>
            <w:tcBorders>
              <w:left w:val="nil"/>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Date:</w:t>
            </w:r>
            <w:r w:rsidR="00C275C7"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val="restart"/>
            <w:tcBorders>
              <w:top w:val="single" w:sz="4" w:space="0" w:color="auto"/>
              <w:left w:val="single" w:sz="4" w:space="0" w:color="auto"/>
              <w:right w:val="single" w:sz="4" w:space="0" w:color="auto"/>
            </w:tcBorders>
            <w:shd w:val="clear" w:color="auto" w:fill="auto"/>
          </w:tcPr>
          <w:p w:rsidR="00FB48DA" w:rsidRPr="00CC0ADE" w:rsidRDefault="008E49C5" w:rsidP="00CC0ADE">
            <w:pPr>
              <w:rPr>
                <w:rFonts w:asciiTheme="minorHAnsi" w:hAnsiTheme="minorHAnsi" w:cstheme="minorHAnsi"/>
                <w:sz w:val="22"/>
                <w:szCs w:val="22"/>
              </w:rPr>
            </w:pPr>
            <w:r w:rsidRPr="00CC0ADE">
              <w:rPr>
                <w:rFonts w:asciiTheme="minorHAnsi" w:hAnsiTheme="minorHAnsi" w:cstheme="minorHAnsi"/>
                <w:sz w:val="22"/>
                <w:szCs w:val="22"/>
              </w:rPr>
              <w:t xml:space="preserve">Further meeting with </w:t>
            </w:r>
            <w:r w:rsidRPr="00CC0ADE">
              <w:rPr>
                <w:rFonts w:asciiTheme="minorHAnsi" w:hAnsiTheme="minorHAnsi" w:cstheme="minorHAnsi"/>
                <w:noProof/>
                <w:sz w:val="22"/>
                <w:szCs w:val="22"/>
              </w:rPr>
              <w:t>Equalities, Interventions and Operational Practice Group to discuss suggested amendments to some of the guidance previously issued</w:t>
            </w:r>
            <w:r w:rsidR="00FE1E12" w:rsidRPr="00CC0ADE">
              <w:rPr>
                <w:rFonts w:asciiTheme="minorHAnsi" w:hAnsiTheme="minorHAnsi" w:cstheme="minorHAnsi"/>
                <w:noProof/>
                <w:sz w:val="22"/>
                <w:szCs w:val="22"/>
              </w:rPr>
              <w:t>.</w:t>
            </w: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2C32C2" w:rsidP="00CC0ADE">
            <w:pPr>
              <w:rPr>
                <w:rFonts w:asciiTheme="minorHAnsi" w:hAnsiTheme="minorHAnsi" w:cstheme="minorHAnsi"/>
                <w:sz w:val="22"/>
                <w:szCs w:val="22"/>
              </w:rPr>
            </w:pPr>
            <w:r w:rsidRPr="00CC0ADE">
              <w:rPr>
                <w:rFonts w:asciiTheme="minorHAnsi" w:hAnsiTheme="minorHAnsi" w:cstheme="minorHAnsi"/>
                <w:sz w:val="22"/>
                <w:szCs w:val="22"/>
              </w:rPr>
              <w:t>September</w:t>
            </w:r>
            <w:r w:rsidR="00FE1E12" w:rsidRPr="00CC0ADE">
              <w:rPr>
                <w:rFonts w:asciiTheme="minorHAnsi" w:hAnsiTheme="minorHAnsi" w:cstheme="minorHAnsi"/>
                <w:sz w:val="22"/>
                <w:szCs w:val="22"/>
              </w:rPr>
              <w:t xml:space="preserve"> – December 2017</w:t>
            </w:r>
          </w:p>
        </w:tc>
      </w:tr>
      <w:tr w:rsidR="00FB48DA" w:rsidRPr="00CC0ADE" w:rsidTr="00714D59">
        <w:trPr>
          <w:cantSplit/>
        </w:trPr>
        <w:tc>
          <w:tcPr>
            <w:tcW w:w="5994" w:type="dxa"/>
            <w:gridSpan w:val="2"/>
            <w:vMerge/>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bottom w:val="single" w:sz="4" w:space="0" w:color="auto"/>
            </w:tcBorders>
            <w:shd w:val="clear" w:color="auto" w:fill="auto"/>
          </w:tcPr>
          <w:p w:rsidR="00FB48DA" w:rsidRPr="00CC0ADE" w:rsidRDefault="00FB48DA" w:rsidP="00CC0ADE">
            <w:pPr>
              <w:keepNext/>
              <w:rPr>
                <w:rFonts w:asciiTheme="minorHAnsi" w:hAnsiTheme="minorHAnsi" w:cstheme="minorHAnsi"/>
                <w:sz w:val="22"/>
                <w:szCs w:val="22"/>
              </w:rPr>
            </w:pPr>
            <w:r w:rsidRPr="00CC0ADE">
              <w:rPr>
                <w:rFonts w:asciiTheme="minorHAnsi" w:hAnsiTheme="minorHAnsi" w:cstheme="minorHAnsi"/>
                <w:sz w:val="22"/>
                <w:szCs w:val="22"/>
              </w:rPr>
              <w:t>Action / Owner:</w:t>
            </w:r>
            <w:r w:rsidR="00C275C7" w:rsidRPr="00CC0ADE">
              <w:rPr>
                <w:rFonts w:asciiTheme="minorHAnsi" w:hAnsiTheme="minorHAnsi" w:cstheme="minorHAnsi"/>
                <w:sz w:val="22"/>
                <w:szCs w:val="22"/>
              </w:rPr>
              <w:t xml:space="preserve"> </w:t>
            </w:r>
          </w:p>
        </w:tc>
      </w:tr>
      <w:tr w:rsidR="00FB48DA" w:rsidRPr="00CC0ADE" w:rsidTr="00714D59">
        <w:trPr>
          <w:cantSplit/>
        </w:trPr>
        <w:tc>
          <w:tcPr>
            <w:tcW w:w="5994" w:type="dxa"/>
            <w:gridSpan w:val="2"/>
            <w:vMerge/>
            <w:tcBorders>
              <w:left w:val="single" w:sz="4" w:space="0" w:color="auto"/>
              <w:bottom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9" w:type="dxa"/>
            <w:tcBorders>
              <w:left w:val="single" w:sz="4" w:space="0" w:color="auto"/>
              <w:right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c>
          <w:tcPr>
            <w:tcW w:w="2753" w:type="dxa"/>
            <w:gridSpan w:val="3"/>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CF0508" w:rsidP="00CC0ADE">
            <w:pPr>
              <w:rPr>
                <w:rFonts w:asciiTheme="minorHAnsi" w:hAnsiTheme="minorHAnsi" w:cstheme="minorHAnsi"/>
                <w:sz w:val="22"/>
                <w:szCs w:val="22"/>
              </w:rPr>
            </w:pPr>
            <w:r w:rsidRPr="00CC0ADE">
              <w:rPr>
                <w:rFonts w:asciiTheme="minorHAnsi" w:hAnsiTheme="minorHAnsi" w:cstheme="minorHAnsi"/>
                <w:sz w:val="22"/>
                <w:szCs w:val="22"/>
              </w:rPr>
              <w:t>Jim Fraser</w:t>
            </w:r>
          </w:p>
        </w:tc>
      </w:tr>
      <w:tr w:rsidR="00FB48DA" w:rsidRPr="00CC0ADE" w:rsidTr="00714D59">
        <w:trPr>
          <w:cantSplit/>
        </w:trPr>
        <w:tc>
          <w:tcPr>
            <w:tcW w:w="9026" w:type="dxa"/>
            <w:gridSpan w:val="6"/>
            <w:tcBorders>
              <w:bottom w:val="single" w:sz="4" w:space="0" w:color="auto"/>
            </w:tcBorders>
            <w:shd w:val="clear" w:color="auto" w:fill="auto"/>
          </w:tcPr>
          <w:p w:rsidR="00B029FC" w:rsidRPr="00CC0ADE" w:rsidRDefault="00B029FC" w:rsidP="00CC0ADE">
            <w:pPr>
              <w:keepNext/>
              <w:rPr>
                <w:rFonts w:asciiTheme="minorHAnsi" w:hAnsiTheme="minorHAnsi" w:cstheme="minorHAnsi"/>
                <w:b/>
                <w:sz w:val="22"/>
                <w:szCs w:val="22"/>
              </w:rPr>
            </w:pPr>
          </w:p>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Internal sources of information:</w:t>
            </w:r>
            <w:r w:rsidR="00A05BA9" w:rsidRPr="00CC0ADE">
              <w:rPr>
                <w:rFonts w:asciiTheme="minorHAnsi" w:hAnsiTheme="minorHAnsi" w:cstheme="minorHAnsi"/>
                <w:b/>
                <w:sz w:val="22"/>
                <w:szCs w:val="22"/>
              </w:rPr>
              <w:t xml:space="preserve"> </w:t>
            </w:r>
          </w:p>
          <w:p w:rsidR="00136193" w:rsidRPr="00CC0ADE" w:rsidRDefault="00136193" w:rsidP="00CC0ADE">
            <w:pPr>
              <w:keepNext/>
              <w:rPr>
                <w:rFonts w:asciiTheme="minorHAnsi" w:hAnsiTheme="minorHAnsi" w:cstheme="minorHAnsi"/>
                <w:b/>
                <w:sz w:val="22"/>
                <w:szCs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7C55F1" w:rsidP="00CC0ADE">
            <w:pPr>
              <w:rPr>
                <w:rFonts w:asciiTheme="minorHAnsi" w:hAnsiTheme="minorHAnsi" w:cstheme="minorHAnsi"/>
                <w:sz w:val="22"/>
                <w:szCs w:val="22"/>
              </w:rPr>
            </w:pPr>
            <w:r w:rsidRPr="00CC0ADE">
              <w:rPr>
                <w:rFonts w:asciiTheme="minorHAnsi" w:hAnsiTheme="minorHAnsi" w:cstheme="minorHAnsi"/>
                <w:sz w:val="22"/>
                <w:szCs w:val="22"/>
              </w:rPr>
              <w:t xml:space="preserve">HMPPS </w:t>
            </w:r>
            <w:r w:rsidR="00A05BA9" w:rsidRPr="00CC0ADE">
              <w:rPr>
                <w:rFonts w:asciiTheme="minorHAnsi" w:hAnsiTheme="minorHAnsi" w:cstheme="minorHAnsi"/>
                <w:sz w:val="22"/>
                <w:szCs w:val="22"/>
              </w:rPr>
              <w:t>Attendance &amp; Wellbeing Team</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7C55F1" w:rsidP="00CC0ADE">
            <w:pPr>
              <w:rPr>
                <w:rFonts w:asciiTheme="minorHAnsi" w:hAnsiTheme="minorHAnsi" w:cstheme="minorHAnsi"/>
                <w:sz w:val="22"/>
                <w:szCs w:val="22"/>
              </w:rPr>
            </w:pPr>
            <w:r w:rsidRPr="00CC0ADE">
              <w:rPr>
                <w:rFonts w:asciiTheme="minorHAnsi" w:hAnsiTheme="minorHAnsi" w:cstheme="minorHAnsi"/>
                <w:sz w:val="22"/>
                <w:szCs w:val="22"/>
              </w:rPr>
              <w:t xml:space="preserve">HMPPS </w:t>
            </w:r>
            <w:r w:rsidR="008E49C5" w:rsidRPr="00CC0ADE">
              <w:rPr>
                <w:rFonts w:asciiTheme="minorHAnsi" w:hAnsiTheme="minorHAnsi" w:cstheme="minorHAnsi"/>
                <w:noProof/>
                <w:sz w:val="22"/>
                <w:szCs w:val="22"/>
              </w:rPr>
              <w:t>Equalities, Interventions and Operational Practice Group</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A05BA9" w:rsidP="00CC0ADE">
            <w:pPr>
              <w:rPr>
                <w:rFonts w:asciiTheme="minorHAnsi" w:hAnsiTheme="minorHAnsi" w:cstheme="minorHAnsi"/>
                <w:sz w:val="22"/>
                <w:szCs w:val="22"/>
              </w:rPr>
            </w:pPr>
            <w:r w:rsidRPr="00CC0ADE">
              <w:rPr>
                <w:rFonts w:asciiTheme="minorHAnsi" w:hAnsiTheme="minorHAnsi" w:cstheme="minorHAnsi"/>
                <w:sz w:val="22"/>
                <w:szCs w:val="22"/>
              </w:rPr>
              <w:t>MoJ HR Policy</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7C55F1" w:rsidP="00CC0ADE">
            <w:pPr>
              <w:rPr>
                <w:rFonts w:asciiTheme="minorHAnsi" w:hAnsiTheme="minorHAnsi" w:cstheme="minorHAnsi"/>
                <w:sz w:val="22"/>
                <w:szCs w:val="22"/>
              </w:rPr>
            </w:pPr>
            <w:r w:rsidRPr="00CC0ADE">
              <w:rPr>
                <w:rFonts w:asciiTheme="minorHAnsi" w:hAnsiTheme="minorHAnsi" w:cstheme="minorHAnsi"/>
                <w:sz w:val="22"/>
                <w:szCs w:val="22"/>
              </w:rPr>
              <w:t xml:space="preserve">HMPPS </w:t>
            </w:r>
            <w:r w:rsidR="00C275C7" w:rsidRPr="00CC0ADE">
              <w:rPr>
                <w:rFonts w:asciiTheme="minorHAnsi" w:hAnsiTheme="minorHAnsi" w:cstheme="minorHAnsi"/>
                <w:sz w:val="22"/>
                <w:szCs w:val="22"/>
              </w:rPr>
              <w:t>Staff Networks</w:t>
            </w:r>
          </w:p>
        </w:tc>
      </w:tr>
      <w:tr w:rsidR="00FB48DA" w:rsidRPr="00CC0ADE" w:rsidTr="0082412E">
        <w:trPr>
          <w:cantSplit/>
        </w:trPr>
        <w:tc>
          <w:tcPr>
            <w:tcW w:w="9026" w:type="dxa"/>
            <w:gridSpan w:val="6"/>
            <w:tcBorders>
              <w:top w:val="single" w:sz="4" w:space="0" w:color="auto"/>
              <w:bottom w:val="single" w:sz="4" w:space="0" w:color="auto"/>
            </w:tcBorders>
            <w:shd w:val="clear" w:color="auto" w:fill="auto"/>
          </w:tcPr>
          <w:p w:rsidR="00B029FC" w:rsidRPr="00CC0ADE" w:rsidRDefault="00B029FC" w:rsidP="00CC0ADE">
            <w:pPr>
              <w:pStyle w:val="Spacer"/>
              <w:rPr>
                <w:rFonts w:asciiTheme="minorHAnsi" w:hAnsiTheme="minorHAnsi" w:cstheme="minorHAnsi"/>
                <w:sz w:val="22"/>
              </w:rPr>
            </w:pPr>
          </w:p>
        </w:tc>
      </w:tr>
      <w:tr w:rsidR="0082412E" w:rsidRPr="00CC0ADE" w:rsidTr="0082412E">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82412E" w:rsidRPr="00CC0ADE" w:rsidRDefault="0082412E" w:rsidP="00CC0ADE">
            <w:pPr>
              <w:pStyle w:val="Spacer"/>
              <w:rPr>
                <w:rFonts w:asciiTheme="minorHAnsi" w:hAnsiTheme="minorHAnsi" w:cstheme="minorHAnsi"/>
                <w:sz w:val="22"/>
              </w:rPr>
            </w:pPr>
            <w:r w:rsidRPr="00CC0ADE">
              <w:rPr>
                <w:rFonts w:asciiTheme="minorHAnsi" w:hAnsiTheme="minorHAnsi" w:cstheme="minorHAnsi"/>
                <w:sz w:val="22"/>
              </w:rPr>
              <w:t>PPAS / DASHRAS</w:t>
            </w:r>
          </w:p>
        </w:tc>
      </w:tr>
      <w:tr w:rsidR="0082412E" w:rsidRPr="00CC0ADE" w:rsidTr="0082412E">
        <w:trPr>
          <w:cantSplit/>
        </w:trPr>
        <w:tc>
          <w:tcPr>
            <w:tcW w:w="9026" w:type="dxa"/>
            <w:gridSpan w:val="6"/>
            <w:tcBorders>
              <w:top w:val="single" w:sz="4" w:space="0" w:color="auto"/>
            </w:tcBorders>
            <w:shd w:val="clear" w:color="auto" w:fill="auto"/>
          </w:tcPr>
          <w:p w:rsidR="0082412E" w:rsidRPr="00CC0ADE" w:rsidRDefault="0082412E"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External sources of information:</w:t>
            </w:r>
            <w:r w:rsidR="00A05BA9" w:rsidRPr="00CC0ADE">
              <w:rPr>
                <w:rFonts w:asciiTheme="minorHAnsi" w:hAnsiTheme="minorHAnsi" w:cstheme="minorHAnsi"/>
                <w:b/>
                <w:sz w:val="22"/>
                <w:szCs w:val="22"/>
              </w:rPr>
              <w:t xml:space="preserve"> </w:t>
            </w:r>
          </w:p>
          <w:p w:rsidR="00136193" w:rsidRPr="00CC0ADE" w:rsidRDefault="00136193" w:rsidP="00CC0ADE">
            <w:pPr>
              <w:keepNext/>
              <w:rPr>
                <w:rFonts w:asciiTheme="minorHAnsi" w:hAnsiTheme="minorHAnsi" w:cstheme="minorHAnsi"/>
                <w:b/>
                <w:sz w:val="22"/>
                <w:szCs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A05BA9" w:rsidP="00CC0ADE">
            <w:pPr>
              <w:rPr>
                <w:rFonts w:asciiTheme="minorHAnsi" w:hAnsiTheme="minorHAnsi" w:cstheme="minorHAnsi"/>
                <w:sz w:val="22"/>
                <w:szCs w:val="22"/>
              </w:rPr>
            </w:pPr>
            <w:r w:rsidRPr="00CC0ADE">
              <w:rPr>
                <w:rFonts w:asciiTheme="minorHAnsi" w:hAnsiTheme="minorHAnsi" w:cstheme="minorHAnsi"/>
                <w:sz w:val="22"/>
                <w:szCs w:val="22"/>
              </w:rPr>
              <w:t>CSEP</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A05BA9" w:rsidP="00CC0ADE">
            <w:pPr>
              <w:rPr>
                <w:rFonts w:asciiTheme="minorHAnsi" w:hAnsiTheme="minorHAnsi" w:cstheme="minorHAnsi"/>
                <w:sz w:val="22"/>
                <w:szCs w:val="22"/>
              </w:rPr>
            </w:pPr>
            <w:r w:rsidRPr="00CC0ADE">
              <w:rPr>
                <w:rFonts w:asciiTheme="minorHAnsi" w:hAnsiTheme="minorHAnsi" w:cstheme="minorHAnsi"/>
                <w:sz w:val="22"/>
                <w:szCs w:val="22"/>
              </w:rPr>
              <w:t>Government Legal Department</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A05BA9" w:rsidP="00CC0ADE">
            <w:pPr>
              <w:rPr>
                <w:rFonts w:asciiTheme="minorHAnsi" w:hAnsiTheme="minorHAnsi" w:cstheme="minorHAnsi"/>
                <w:sz w:val="22"/>
                <w:szCs w:val="22"/>
              </w:rPr>
            </w:pPr>
            <w:r w:rsidRPr="00CC0ADE">
              <w:rPr>
                <w:rFonts w:asciiTheme="minorHAnsi" w:hAnsiTheme="minorHAnsi" w:cstheme="minorHAnsi"/>
                <w:sz w:val="22"/>
                <w:szCs w:val="22"/>
              </w:rPr>
              <w:t>SSCL</w:t>
            </w:r>
          </w:p>
        </w:tc>
      </w:tr>
      <w:tr w:rsidR="00FB48DA" w:rsidRPr="00CC0ADE" w:rsidTr="00714D59">
        <w:trPr>
          <w:cantSplit/>
        </w:trPr>
        <w:tc>
          <w:tcPr>
            <w:tcW w:w="9026" w:type="dxa"/>
            <w:gridSpan w:val="6"/>
            <w:tcBorders>
              <w:top w:val="single" w:sz="4" w:space="0" w:color="auto"/>
              <w:bottom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7C55F1" w:rsidP="00CC0ADE">
            <w:pPr>
              <w:rPr>
                <w:rFonts w:asciiTheme="minorHAnsi" w:hAnsiTheme="minorHAnsi" w:cstheme="minorHAnsi"/>
                <w:sz w:val="22"/>
                <w:szCs w:val="22"/>
              </w:rPr>
            </w:pPr>
            <w:r w:rsidRPr="00CC0ADE">
              <w:rPr>
                <w:rFonts w:asciiTheme="minorHAnsi" w:hAnsiTheme="minorHAnsi" w:cstheme="minorHAnsi"/>
                <w:sz w:val="22"/>
                <w:szCs w:val="22"/>
              </w:rPr>
              <w:t>HMPPS</w:t>
            </w:r>
            <w:r w:rsidR="00C275C7" w:rsidRPr="00CC0ADE">
              <w:rPr>
                <w:rFonts w:asciiTheme="minorHAnsi" w:hAnsiTheme="minorHAnsi" w:cstheme="minorHAnsi"/>
                <w:sz w:val="22"/>
                <w:szCs w:val="22"/>
              </w:rPr>
              <w:t xml:space="preserve"> Trade Unions</w:t>
            </w: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lastRenderedPageBreak/>
              <w:t>Summarise here the general ways you have embedded equality and inclusion into your product in order to make sure it is suitable or as relevant as possible.  This will include how you have addressed the potential for bias:</w:t>
            </w:r>
          </w:p>
          <w:p w:rsidR="00CC0ADE"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 xml:space="preserve"> </w:t>
            </w:r>
          </w:p>
        </w:tc>
      </w:tr>
      <w:tr w:rsidR="00FB48DA" w:rsidRPr="00CC0ADE" w:rsidTr="00CC0ADE">
        <w:trPr>
          <w:cantSplit/>
          <w:trHeight w:val="557"/>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C275C7" w:rsidRPr="00CC0ADE" w:rsidRDefault="002E1868" w:rsidP="00CC0ADE">
            <w:pPr>
              <w:rPr>
                <w:rFonts w:asciiTheme="minorHAnsi" w:hAnsiTheme="minorHAnsi" w:cstheme="minorHAnsi"/>
                <w:sz w:val="22"/>
                <w:szCs w:val="22"/>
              </w:rPr>
            </w:pPr>
            <w:r w:rsidRPr="00CC0ADE">
              <w:rPr>
                <w:rFonts w:asciiTheme="minorHAnsi" w:hAnsiTheme="minorHAnsi" w:cstheme="minorHAnsi"/>
                <w:sz w:val="22"/>
                <w:szCs w:val="22"/>
              </w:rPr>
              <w:lastRenderedPageBreak/>
              <w:t>The new policy remains broadly</w:t>
            </w:r>
            <w:r w:rsidR="00A05BA9" w:rsidRPr="00CC0ADE">
              <w:rPr>
                <w:rFonts w:asciiTheme="minorHAnsi" w:hAnsiTheme="minorHAnsi" w:cstheme="minorHAnsi"/>
                <w:sz w:val="22"/>
                <w:szCs w:val="22"/>
              </w:rPr>
              <w:t xml:space="preserve"> similar, however, there will be an impact for managers managing attendance issues. The effective management of staff is a key means by which we deliver the work of the Service and clear guidance and support should be available to staff to help them undertake their responsibilities effectively</w:t>
            </w:r>
            <w:r w:rsidR="00BE01E1" w:rsidRPr="00CC0ADE">
              <w:rPr>
                <w:rFonts w:asciiTheme="minorHAnsi" w:hAnsiTheme="minorHAnsi" w:cstheme="minorHAnsi"/>
                <w:sz w:val="22"/>
                <w:szCs w:val="22"/>
              </w:rPr>
              <w:t xml:space="preserve"> and exercise discretion appropriately</w:t>
            </w:r>
            <w:r w:rsidR="00A05BA9" w:rsidRPr="00CC0ADE">
              <w:rPr>
                <w:rFonts w:asciiTheme="minorHAnsi" w:hAnsiTheme="minorHAnsi" w:cstheme="minorHAnsi"/>
                <w:sz w:val="22"/>
                <w:szCs w:val="22"/>
              </w:rPr>
              <w:t>. This policy and supporting guidance available on My Services</w:t>
            </w:r>
            <w:r w:rsidR="003349C0" w:rsidRPr="00CC0ADE">
              <w:rPr>
                <w:rFonts w:asciiTheme="minorHAnsi" w:hAnsiTheme="minorHAnsi" w:cstheme="minorHAnsi"/>
                <w:sz w:val="22"/>
                <w:szCs w:val="22"/>
              </w:rPr>
              <w:t xml:space="preserve"> and ‘</w:t>
            </w:r>
            <w:hyperlink r:id="rId9" w:history="1">
              <w:r w:rsidR="003349C0" w:rsidRPr="00CC0ADE">
                <w:rPr>
                  <w:rStyle w:val="Hyperlink"/>
                  <w:rFonts w:asciiTheme="minorHAnsi" w:hAnsiTheme="minorHAnsi" w:cstheme="minorHAnsi"/>
                  <w:sz w:val="22"/>
                  <w:szCs w:val="22"/>
                </w:rPr>
                <w:t>How to Guides</w:t>
              </w:r>
            </w:hyperlink>
            <w:r w:rsidR="003349C0" w:rsidRPr="00CC0ADE">
              <w:rPr>
                <w:rFonts w:asciiTheme="minorHAnsi" w:hAnsiTheme="minorHAnsi" w:cstheme="minorHAnsi"/>
                <w:sz w:val="22"/>
                <w:szCs w:val="22"/>
              </w:rPr>
              <w:t>’</w:t>
            </w:r>
            <w:r w:rsidR="00A05BA9" w:rsidRPr="00CC0ADE">
              <w:rPr>
                <w:rFonts w:asciiTheme="minorHAnsi" w:hAnsiTheme="minorHAnsi" w:cstheme="minorHAnsi"/>
                <w:sz w:val="22"/>
                <w:szCs w:val="22"/>
              </w:rPr>
              <w:t xml:space="preserve"> are intended to provide a simple and clear explanation of the mandatory requirements of the Service’s Attendance Management process, with specific details about issues that impact equality and protected characteristics in a fair and appropriate manner</w:t>
            </w:r>
            <w:r w:rsidR="00BE01E1" w:rsidRPr="00CC0ADE">
              <w:rPr>
                <w:rFonts w:asciiTheme="minorHAnsi" w:hAnsiTheme="minorHAnsi" w:cstheme="minorHAnsi"/>
                <w:sz w:val="22"/>
                <w:szCs w:val="22"/>
              </w:rPr>
              <w:t xml:space="preserve"> where discretion should be applied for clear and consistent reasons</w:t>
            </w:r>
            <w:r w:rsidR="00A05BA9" w:rsidRPr="00CC0ADE">
              <w:rPr>
                <w:rFonts w:asciiTheme="minorHAnsi" w:hAnsiTheme="minorHAnsi" w:cstheme="minorHAnsi"/>
                <w:sz w:val="22"/>
                <w:szCs w:val="22"/>
              </w:rPr>
              <w:t>.</w:t>
            </w:r>
            <w:r w:rsidR="00CC0ADE" w:rsidRPr="00CC0ADE">
              <w:rPr>
                <w:rFonts w:asciiTheme="minorHAnsi" w:hAnsiTheme="minorHAnsi" w:cstheme="minorHAnsi"/>
                <w:sz w:val="22"/>
                <w:szCs w:val="22"/>
              </w:rPr>
              <w:t xml:space="preserve"> </w:t>
            </w:r>
            <w:r w:rsidR="00C275C7" w:rsidRPr="00CC0ADE">
              <w:rPr>
                <w:rFonts w:asciiTheme="minorHAnsi" w:hAnsiTheme="minorHAnsi" w:cstheme="minorHAnsi"/>
                <w:sz w:val="22"/>
                <w:szCs w:val="22"/>
              </w:rPr>
              <w:t xml:space="preserve">The policy applies to all directly-employed staff in </w:t>
            </w:r>
            <w:r w:rsidR="007C55F1" w:rsidRPr="00CC0ADE">
              <w:rPr>
                <w:rFonts w:asciiTheme="minorHAnsi" w:hAnsiTheme="minorHAnsi" w:cstheme="minorHAnsi"/>
                <w:sz w:val="22"/>
                <w:szCs w:val="22"/>
              </w:rPr>
              <w:t>HMPPS</w:t>
            </w:r>
            <w:r w:rsidR="00C275C7" w:rsidRPr="00CC0ADE">
              <w:rPr>
                <w:rFonts w:asciiTheme="minorHAnsi" w:hAnsiTheme="minorHAnsi" w:cstheme="minorHAnsi"/>
                <w:sz w:val="22"/>
                <w:szCs w:val="22"/>
              </w:rPr>
              <w:t xml:space="preserve">, makes accommodation for pregnancy related </w:t>
            </w:r>
            <w:r w:rsidR="00B029FC" w:rsidRPr="00CC0ADE">
              <w:rPr>
                <w:rFonts w:asciiTheme="minorHAnsi" w:hAnsiTheme="minorHAnsi" w:cstheme="minorHAnsi"/>
                <w:sz w:val="22"/>
                <w:szCs w:val="22"/>
              </w:rPr>
              <w:t xml:space="preserve">and gender reassignment </w:t>
            </w:r>
            <w:r w:rsidR="00C275C7" w:rsidRPr="00CC0ADE">
              <w:rPr>
                <w:rFonts w:asciiTheme="minorHAnsi" w:hAnsiTheme="minorHAnsi" w:cstheme="minorHAnsi"/>
                <w:sz w:val="22"/>
                <w:szCs w:val="22"/>
              </w:rPr>
              <w:t xml:space="preserve">issues, and requires </w:t>
            </w:r>
            <w:r w:rsidR="00C275C7" w:rsidRPr="00CC0ADE">
              <w:rPr>
                <w:rFonts w:asciiTheme="minorHAnsi" w:hAnsiTheme="minorHAnsi" w:cstheme="minorHAnsi"/>
                <w:bCs/>
                <w:sz w:val="22"/>
                <w:szCs w:val="22"/>
              </w:rPr>
              <w:t>managers to ensure that disabled persons are protected from discrimination in the workplace</w:t>
            </w:r>
            <w:r w:rsidR="00C275C7" w:rsidRPr="00CC0ADE">
              <w:rPr>
                <w:rFonts w:asciiTheme="minorHAnsi" w:hAnsiTheme="minorHAnsi" w:cstheme="minorHAnsi"/>
                <w:sz w:val="22"/>
                <w:szCs w:val="22"/>
              </w:rPr>
              <w:t xml:space="preserve">. </w:t>
            </w:r>
          </w:p>
          <w:p w:rsidR="00C275C7" w:rsidRPr="00CC0ADE" w:rsidRDefault="00C275C7" w:rsidP="00CC0ADE">
            <w:pPr>
              <w:rPr>
                <w:rFonts w:asciiTheme="minorHAnsi" w:hAnsiTheme="minorHAnsi" w:cstheme="minorHAnsi"/>
                <w:sz w:val="22"/>
                <w:szCs w:val="22"/>
              </w:rPr>
            </w:pPr>
          </w:p>
          <w:p w:rsidR="00B95EB0" w:rsidRDefault="00C275C7" w:rsidP="00B95EB0">
            <w:pPr>
              <w:pStyle w:val="CommentText"/>
              <w:rPr>
                <w:rFonts w:asciiTheme="minorHAnsi" w:hAnsiTheme="minorHAnsi" w:cstheme="minorHAnsi"/>
                <w:sz w:val="22"/>
                <w:szCs w:val="22"/>
              </w:rPr>
            </w:pPr>
            <w:r w:rsidRPr="00CC0ADE">
              <w:rPr>
                <w:rFonts w:asciiTheme="minorHAnsi" w:hAnsiTheme="minorHAnsi" w:cstheme="minorHAnsi"/>
                <w:sz w:val="22"/>
                <w:szCs w:val="22"/>
              </w:rPr>
              <w:t xml:space="preserve">The policy is aimed at all </w:t>
            </w:r>
            <w:r w:rsidR="00D2753B" w:rsidRPr="00CC0ADE">
              <w:rPr>
                <w:rFonts w:asciiTheme="minorHAnsi" w:hAnsiTheme="minorHAnsi" w:cstheme="minorHAnsi"/>
                <w:sz w:val="22"/>
                <w:szCs w:val="22"/>
              </w:rPr>
              <w:t xml:space="preserve">HMPPS </w:t>
            </w:r>
            <w:r w:rsidRPr="00CC0ADE">
              <w:rPr>
                <w:rFonts w:asciiTheme="minorHAnsi" w:hAnsiTheme="minorHAnsi" w:cstheme="minorHAnsi"/>
                <w:sz w:val="22"/>
                <w:szCs w:val="22"/>
              </w:rPr>
              <w:t xml:space="preserve">staff and in particular line managers who will be required to manage attendance of their staff fairly and effectively. Governors/Head of Business Unit/ACO/LDU Cluster Lead’s must make sure that staff and line managers apply Attendance Management arrangements </w:t>
            </w:r>
            <w:r w:rsidR="00B029FC" w:rsidRPr="00CC0ADE">
              <w:rPr>
                <w:rFonts w:asciiTheme="minorHAnsi" w:hAnsiTheme="minorHAnsi" w:cstheme="minorHAnsi"/>
                <w:sz w:val="22"/>
                <w:szCs w:val="22"/>
              </w:rPr>
              <w:t>consistently</w:t>
            </w:r>
            <w:r w:rsidR="00BE01E1" w:rsidRPr="00CC0ADE">
              <w:rPr>
                <w:rFonts w:asciiTheme="minorHAnsi" w:hAnsiTheme="minorHAnsi" w:cstheme="minorHAnsi"/>
                <w:sz w:val="22"/>
                <w:szCs w:val="22"/>
              </w:rPr>
              <w:t xml:space="preserve"> but fairly applying appropriate discretion</w:t>
            </w:r>
            <w:r w:rsidR="00B029FC" w:rsidRPr="00CC0ADE">
              <w:rPr>
                <w:rFonts w:asciiTheme="minorHAnsi" w:hAnsiTheme="minorHAnsi" w:cstheme="minorHAnsi"/>
                <w:sz w:val="22"/>
                <w:szCs w:val="22"/>
              </w:rPr>
              <w:t xml:space="preserve"> </w:t>
            </w:r>
            <w:r w:rsidRPr="00CC0ADE">
              <w:rPr>
                <w:rFonts w:asciiTheme="minorHAnsi" w:hAnsiTheme="minorHAnsi" w:cstheme="minorHAnsi"/>
                <w:sz w:val="22"/>
                <w:szCs w:val="22"/>
              </w:rPr>
              <w:t>as set out in this policy.</w:t>
            </w:r>
            <w:r w:rsidR="00D613C8">
              <w:rPr>
                <w:rFonts w:asciiTheme="minorHAnsi" w:hAnsiTheme="minorHAnsi" w:cstheme="minorHAnsi"/>
                <w:sz w:val="22"/>
                <w:szCs w:val="22"/>
              </w:rPr>
              <w:t xml:space="preserve"> </w:t>
            </w:r>
            <w:r w:rsidR="00D613C8" w:rsidRPr="00D613C8">
              <w:rPr>
                <w:rFonts w:asciiTheme="minorHAnsi" w:hAnsiTheme="minorHAnsi" w:cstheme="minorHAnsi"/>
                <w:color w:val="222222"/>
                <w:sz w:val="22"/>
                <w:szCs w:val="22"/>
              </w:rPr>
              <w:t xml:space="preserve">Any decision to issue an absence-related warning or to dismiss on grounds of attendance must be justified taking into account all the facts of the case. </w:t>
            </w:r>
            <w:r w:rsidR="00D613C8" w:rsidRPr="00055759">
              <w:rPr>
                <w:rFonts w:asciiTheme="minorHAnsi" w:hAnsiTheme="minorHAnsi" w:cstheme="minorHAnsi"/>
                <w:color w:val="FF0000"/>
                <w:sz w:val="22"/>
                <w:szCs w:val="22"/>
              </w:rPr>
              <w:t>Neither should be an automatic action just because an individual has reached a trigger level of days and / or spells. Rather, that should be a trigger for the manager to ensure they understand the reasons for the absence(s) and that appropriate action is being taken.</w:t>
            </w:r>
            <w:r w:rsidR="00D613C8" w:rsidRPr="00D613C8">
              <w:rPr>
                <w:rFonts w:asciiTheme="minorHAnsi" w:hAnsiTheme="minorHAnsi" w:cstheme="minorHAnsi"/>
                <w:color w:val="222222"/>
                <w:sz w:val="22"/>
                <w:szCs w:val="22"/>
              </w:rPr>
              <w:t xml:space="preserve"> </w:t>
            </w:r>
            <w:r w:rsidRPr="00CC0ADE">
              <w:rPr>
                <w:rFonts w:asciiTheme="minorHAnsi" w:hAnsiTheme="minorHAnsi" w:cstheme="minorHAnsi"/>
                <w:sz w:val="22"/>
                <w:szCs w:val="22"/>
              </w:rPr>
              <w:t>We have consulted trade unions who represent these groups of staff</w:t>
            </w:r>
            <w:r w:rsidR="00BE01E1" w:rsidRPr="00CC0ADE">
              <w:rPr>
                <w:rFonts w:asciiTheme="minorHAnsi" w:hAnsiTheme="minorHAnsi" w:cstheme="minorHAnsi"/>
                <w:sz w:val="22"/>
                <w:szCs w:val="22"/>
              </w:rPr>
              <w:t xml:space="preserve"> and reaffirmed that whilst this policy sets out clear guidelines and principles it should not prevent appropriate management discretion</w:t>
            </w:r>
            <w:r w:rsidRPr="00CC0ADE">
              <w:rPr>
                <w:rFonts w:asciiTheme="minorHAnsi" w:hAnsiTheme="minorHAnsi" w:cstheme="minorHAnsi"/>
                <w:sz w:val="22"/>
                <w:szCs w:val="22"/>
              </w:rPr>
              <w:t>.</w:t>
            </w:r>
            <w:r w:rsidR="00CC0ADE" w:rsidRPr="00CC0ADE">
              <w:rPr>
                <w:rFonts w:asciiTheme="minorHAnsi" w:hAnsiTheme="minorHAnsi" w:cstheme="minorHAnsi"/>
                <w:sz w:val="22"/>
                <w:szCs w:val="22"/>
              </w:rPr>
              <w:t xml:space="preserve"> The policy has had legal advice underpinned by ensuring differential impact on protected characteristics. HMPPS has taken a cautious stance around these issues by allowing discretion for particular unique circumstances. It will be kept under regular review.</w:t>
            </w:r>
          </w:p>
          <w:p w:rsidR="00B95EB0" w:rsidRPr="00055759" w:rsidRDefault="00B95EB0" w:rsidP="00B95EB0">
            <w:pPr>
              <w:pStyle w:val="CommentText"/>
              <w:rPr>
                <w:rFonts w:asciiTheme="minorHAnsi" w:hAnsiTheme="minorHAnsi" w:cstheme="minorHAnsi"/>
                <w:color w:val="FF0000"/>
                <w:sz w:val="22"/>
                <w:szCs w:val="22"/>
              </w:rPr>
            </w:pPr>
          </w:p>
          <w:p w:rsidR="00B95EB0" w:rsidRPr="00055759" w:rsidRDefault="00B95EB0" w:rsidP="00B95EB0">
            <w:pPr>
              <w:pStyle w:val="CommentText"/>
              <w:rPr>
                <w:rFonts w:asciiTheme="minorHAnsi" w:hAnsiTheme="minorHAnsi" w:cstheme="minorHAnsi"/>
                <w:color w:val="FF0000"/>
                <w:spacing w:val="-2"/>
                <w:sz w:val="22"/>
                <w:szCs w:val="22"/>
              </w:rPr>
            </w:pPr>
            <w:r w:rsidRPr="00055759">
              <w:rPr>
                <w:rFonts w:asciiTheme="minorHAnsi" w:hAnsiTheme="minorHAnsi" w:cstheme="minorHAnsi"/>
                <w:color w:val="FF0000"/>
                <w:sz w:val="22"/>
                <w:szCs w:val="22"/>
              </w:rPr>
              <w:t xml:space="preserve">To ensure compliance with the Public Sector Equality Duty, </w:t>
            </w:r>
            <w:r w:rsidRPr="00055759">
              <w:rPr>
                <w:rFonts w:asciiTheme="minorHAnsi" w:hAnsiTheme="minorHAnsi" w:cstheme="minorHAnsi"/>
                <w:color w:val="FF0000"/>
                <w:spacing w:val="-2"/>
                <w:sz w:val="22"/>
                <w:szCs w:val="22"/>
              </w:rPr>
              <w:t>decision-makers and managers should:</w:t>
            </w:r>
          </w:p>
          <w:p w:rsidR="00B95EB0" w:rsidRPr="00055759" w:rsidRDefault="00B95EB0" w:rsidP="00B95EB0">
            <w:pPr>
              <w:pStyle w:val="CommentText"/>
              <w:rPr>
                <w:rFonts w:asciiTheme="minorHAnsi" w:hAnsiTheme="minorHAnsi" w:cstheme="minorHAnsi"/>
                <w:color w:val="FF0000"/>
                <w:sz w:val="22"/>
                <w:szCs w:val="22"/>
              </w:rPr>
            </w:pPr>
          </w:p>
          <w:p w:rsidR="00B95EB0" w:rsidRPr="00055759" w:rsidRDefault="00B95EB0" w:rsidP="00B95EB0">
            <w:pPr>
              <w:pStyle w:val="ListParagraph"/>
              <w:numPr>
                <w:ilvl w:val="1"/>
                <w:numId w:val="8"/>
              </w:numPr>
              <w:shd w:val="clear" w:color="auto" w:fill="FFFFFF"/>
              <w:ind w:left="601" w:hanging="342"/>
              <w:rPr>
                <w:rFonts w:asciiTheme="minorHAnsi" w:hAnsiTheme="minorHAnsi" w:cstheme="minorHAnsi"/>
                <w:color w:val="FF0000"/>
                <w:spacing w:val="-2"/>
                <w:sz w:val="22"/>
                <w:szCs w:val="22"/>
              </w:rPr>
            </w:pPr>
            <w:r w:rsidRPr="00055759">
              <w:rPr>
                <w:rFonts w:asciiTheme="minorHAnsi" w:hAnsiTheme="minorHAnsi" w:cstheme="minorHAnsi"/>
                <w:color w:val="FF0000"/>
                <w:spacing w:val="-2"/>
                <w:sz w:val="22"/>
                <w:szCs w:val="22"/>
              </w:rPr>
              <w:t>exercise discretion around warnings/sanctions in appropriate circumstances;</w:t>
            </w:r>
          </w:p>
          <w:p w:rsidR="00B95EB0" w:rsidRPr="00055759" w:rsidRDefault="00B95EB0" w:rsidP="00B95EB0">
            <w:pPr>
              <w:pStyle w:val="ListParagraph"/>
              <w:numPr>
                <w:ilvl w:val="1"/>
                <w:numId w:val="8"/>
              </w:numPr>
              <w:shd w:val="clear" w:color="auto" w:fill="FFFFFF"/>
              <w:ind w:left="601" w:hanging="342"/>
              <w:rPr>
                <w:rFonts w:asciiTheme="minorHAnsi" w:hAnsiTheme="minorHAnsi" w:cstheme="minorHAnsi"/>
                <w:color w:val="FF0000"/>
                <w:spacing w:val="-2"/>
                <w:sz w:val="22"/>
                <w:szCs w:val="22"/>
              </w:rPr>
            </w:pPr>
            <w:r w:rsidRPr="00055759">
              <w:rPr>
                <w:rFonts w:asciiTheme="minorHAnsi" w:hAnsiTheme="minorHAnsi" w:cstheme="minorHAnsi"/>
                <w:color w:val="FF0000"/>
                <w:spacing w:val="-2"/>
                <w:sz w:val="22"/>
                <w:szCs w:val="22"/>
              </w:rPr>
              <w:t>act fairly and reasonably, considering each case on its own facts and merits;</w:t>
            </w:r>
          </w:p>
          <w:p w:rsidR="00B95EB0" w:rsidRPr="00055759" w:rsidRDefault="00B95EB0" w:rsidP="00B95EB0">
            <w:pPr>
              <w:pStyle w:val="ListParagraph"/>
              <w:numPr>
                <w:ilvl w:val="1"/>
                <w:numId w:val="8"/>
              </w:numPr>
              <w:shd w:val="clear" w:color="auto" w:fill="FFFFFF"/>
              <w:ind w:left="601" w:hanging="342"/>
              <w:rPr>
                <w:rFonts w:asciiTheme="minorHAnsi" w:hAnsiTheme="minorHAnsi" w:cstheme="minorHAnsi"/>
                <w:color w:val="FF0000"/>
                <w:spacing w:val="-2"/>
                <w:sz w:val="22"/>
                <w:szCs w:val="22"/>
              </w:rPr>
            </w:pPr>
            <w:r w:rsidRPr="00055759">
              <w:rPr>
                <w:rFonts w:asciiTheme="minorHAnsi" w:hAnsiTheme="minorHAnsi" w:cstheme="minorHAnsi"/>
                <w:color w:val="FF0000"/>
                <w:spacing w:val="-2"/>
                <w:sz w:val="22"/>
                <w:szCs w:val="22"/>
              </w:rPr>
              <w:t>make reasonable adjustments to aspects of the policy to take into account disability;</w:t>
            </w:r>
          </w:p>
          <w:p w:rsidR="00B95EB0" w:rsidRPr="00055759" w:rsidRDefault="00B95EB0" w:rsidP="00B95EB0">
            <w:pPr>
              <w:pStyle w:val="ListParagraph"/>
              <w:numPr>
                <w:ilvl w:val="1"/>
                <w:numId w:val="8"/>
              </w:numPr>
              <w:shd w:val="clear" w:color="auto" w:fill="FFFFFF"/>
              <w:ind w:left="601" w:hanging="342"/>
              <w:rPr>
                <w:rFonts w:asciiTheme="minorHAnsi" w:hAnsiTheme="minorHAnsi" w:cstheme="minorHAnsi"/>
                <w:color w:val="FF0000"/>
                <w:spacing w:val="-2"/>
                <w:sz w:val="22"/>
                <w:szCs w:val="22"/>
              </w:rPr>
            </w:pPr>
            <w:r w:rsidRPr="00055759">
              <w:rPr>
                <w:rFonts w:asciiTheme="minorHAnsi" w:hAnsiTheme="minorHAnsi" w:cstheme="minorHAnsi"/>
                <w:color w:val="FF0000"/>
                <w:spacing w:val="-2"/>
                <w:sz w:val="22"/>
                <w:szCs w:val="22"/>
              </w:rPr>
              <w:t>receive appropriate training on diversity issues e.g. unconscious bias training;</w:t>
            </w:r>
          </w:p>
          <w:p w:rsidR="00B95EB0" w:rsidRPr="00055759" w:rsidRDefault="00B95EB0" w:rsidP="00B95EB0">
            <w:pPr>
              <w:pStyle w:val="ListParagraph"/>
              <w:numPr>
                <w:ilvl w:val="1"/>
                <w:numId w:val="8"/>
              </w:numPr>
              <w:shd w:val="clear" w:color="auto" w:fill="FFFFFF"/>
              <w:ind w:left="601" w:hanging="342"/>
              <w:rPr>
                <w:rFonts w:asciiTheme="minorHAnsi" w:hAnsiTheme="minorHAnsi" w:cstheme="minorHAnsi"/>
                <w:color w:val="FF0000"/>
                <w:spacing w:val="-2"/>
                <w:sz w:val="22"/>
                <w:szCs w:val="22"/>
              </w:rPr>
            </w:pPr>
            <w:r w:rsidRPr="00055759">
              <w:rPr>
                <w:rFonts w:asciiTheme="minorHAnsi" w:hAnsiTheme="minorHAnsi" w:cstheme="minorHAnsi"/>
                <w:color w:val="FF0000"/>
                <w:spacing w:val="-2"/>
                <w:sz w:val="22"/>
                <w:szCs w:val="22"/>
              </w:rPr>
              <w:t>Obtain appropriate occupational health advice before making key decisions to ensure disability issues are taken into account.</w:t>
            </w:r>
          </w:p>
          <w:p w:rsidR="00B95EB0" w:rsidRPr="00CC0ADE" w:rsidRDefault="00B95EB0" w:rsidP="00D613C8">
            <w:pPr>
              <w:pStyle w:val="CommentText"/>
              <w:rPr>
                <w:rFonts w:asciiTheme="minorHAnsi" w:hAnsiTheme="minorHAnsi" w:cstheme="minorHAnsi"/>
                <w:sz w:val="22"/>
                <w:szCs w:val="22"/>
              </w:rPr>
            </w:pPr>
          </w:p>
          <w:p w:rsidR="0099541A" w:rsidRPr="00CC0ADE" w:rsidRDefault="0099541A" w:rsidP="00CC0ADE">
            <w:pPr>
              <w:rPr>
                <w:rFonts w:asciiTheme="minorHAnsi" w:hAnsiTheme="minorHAnsi" w:cstheme="minorHAnsi"/>
                <w:sz w:val="22"/>
                <w:szCs w:val="22"/>
              </w:rPr>
            </w:pPr>
            <w:r w:rsidRPr="00CC0ADE">
              <w:rPr>
                <w:rFonts w:asciiTheme="minorHAnsi" w:hAnsiTheme="minorHAnsi" w:cstheme="minorHAnsi"/>
                <w:sz w:val="22"/>
                <w:szCs w:val="22"/>
              </w:rPr>
              <w:t>In order to prepare HMPPS for the implementation of the new policy business readiness activity was undertaken in the lead up to and shortly after publication, such as, national SOP events, HRBP Attendance policy briefings, Senior Leader and SOP SPOC briefings, updates to My Services and the Attendance &amp; Wellbeing intranet page, which included updating How to Guides, FAQs and attendance Management Pack.</w:t>
            </w:r>
          </w:p>
          <w:p w:rsidR="00C275C7" w:rsidRPr="00CC0ADE" w:rsidRDefault="00C275C7" w:rsidP="00CC0ADE">
            <w:pPr>
              <w:rPr>
                <w:rFonts w:asciiTheme="minorHAnsi" w:hAnsiTheme="minorHAnsi" w:cstheme="minorHAnsi"/>
                <w:sz w:val="22"/>
                <w:szCs w:val="22"/>
              </w:rPr>
            </w:pPr>
          </w:p>
          <w:p w:rsidR="00CC6402" w:rsidRPr="00CC0ADE" w:rsidRDefault="00CC6402" w:rsidP="00CC0ADE">
            <w:pPr>
              <w:rPr>
                <w:rFonts w:asciiTheme="minorHAnsi" w:hAnsiTheme="minorHAnsi" w:cstheme="minorHAnsi"/>
                <w:sz w:val="22"/>
                <w:szCs w:val="22"/>
              </w:rPr>
            </w:pPr>
            <w:r w:rsidRPr="00CC0ADE">
              <w:rPr>
                <w:rFonts w:asciiTheme="minorHAnsi" w:hAnsiTheme="minorHAnsi" w:cstheme="minorHAnsi"/>
                <w:sz w:val="22"/>
                <w:szCs w:val="22"/>
              </w:rPr>
              <w:t xml:space="preserve">Since the policy was introduced in January 2017, the HMPPS HR Directorate have continued to meet with HMPPS Trade Union colleagues and the disability network chair to review </w:t>
            </w:r>
            <w:r w:rsidR="00B029FC" w:rsidRPr="00CC0ADE">
              <w:rPr>
                <w:rFonts w:asciiTheme="minorHAnsi" w:hAnsiTheme="minorHAnsi" w:cstheme="minorHAnsi"/>
                <w:sz w:val="22"/>
                <w:szCs w:val="22"/>
              </w:rPr>
              <w:t xml:space="preserve">and improve </w:t>
            </w:r>
            <w:r w:rsidRPr="00CC0ADE">
              <w:rPr>
                <w:rFonts w:asciiTheme="minorHAnsi" w:hAnsiTheme="minorHAnsi" w:cstheme="minorHAnsi"/>
                <w:sz w:val="22"/>
                <w:szCs w:val="22"/>
              </w:rPr>
              <w:t>the guidance that supports the policy.</w:t>
            </w:r>
            <w:r w:rsidR="00B029FC" w:rsidRPr="00CC0ADE">
              <w:rPr>
                <w:rFonts w:asciiTheme="minorHAnsi" w:hAnsiTheme="minorHAnsi" w:cstheme="minorHAnsi"/>
                <w:sz w:val="22"/>
                <w:szCs w:val="22"/>
              </w:rPr>
              <w:t xml:space="preserve"> The Attendance &amp; Wellbeing Team are also working closely with transgender colleagues to draft additional guidance on gender reassignment.</w:t>
            </w:r>
          </w:p>
          <w:p w:rsidR="00CC0ADE" w:rsidRPr="00CC0ADE" w:rsidRDefault="00CC0ADE" w:rsidP="00CC0ADE">
            <w:pPr>
              <w:rPr>
                <w:rFonts w:asciiTheme="minorHAnsi" w:hAnsiTheme="minorHAnsi" w:cstheme="minorHAnsi"/>
                <w:sz w:val="22"/>
                <w:szCs w:val="22"/>
              </w:rPr>
            </w:pPr>
          </w:p>
          <w:p w:rsidR="00CC0ADE" w:rsidRPr="00CC0ADE" w:rsidRDefault="00CC0ADE" w:rsidP="00CC0ADE">
            <w:pPr>
              <w:rPr>
                <w:rFonts w:asciiTheme="minorHAnsi" w:hAnsiTheme="minorHAnsi" w:cstheme="minorHAnsi"/>
                <w:color w:val="000000"/>
                <w:kern w:val="24"/>
                <w:sz w:val="22"/>
                <w:szCs w:val="22"/>
              </w:rPr>
            </w:pPr>
            <w:r w:rsidRPr="00CC0ADE">
              <w:rPr>
                <w:rFonts w:asciiTheme="minorHAnsi" w:hAnsiTheme="minorHAnsi" w:cstheme="minorHAnsi"/>
                <w:sz w:val="22"/>
                <w:szCs w:val="22"/>
              </w:rPr>
              <w:t>The Attendance &amp; Wellbeing team responded to the concerns regarding the application of manager’s discretion and adjusting triggers for disability related conditions and produced a</w:t>
            </w:r>
            <w:r w:rsidRPr="00CC0ADE">
              <w:rPr>
                <w:rFonts w:asciiTheme="minorHAnsi" w:hAnsiTheme="minorHAnsi" w:cstheme="minorHAnsi"/>
                <w:sz w:val="22"/>
                <w:szCs w:val="22"/>
                <w:lang w:val="en-US"/>
              </w:rPr>
              <w:t xml:space="preserve"> workshop tackling these key areas.  The workshop included case studies so that delegates could apply their knowledge and learning to scenarios that they could possibly face as a manager. </w:t>
            </w:r>
            <w:r w:rsidRPr="00CC0ADE">
              <w:rPr>
                <w:rFonts w:asciiTheme="minorHAnsi" w:hAnsiTheme="minorHAnsi" w:cstheme="minorHAnsi"/>
                <w:sz w:val="22"/>
                <w:szCs w:val="22"/>
                <w:lang w:val="en-US"/>
              </w:rPr>
              <w:lastRenderedPageBreak/>
              <w:t xml:space="preserve">Following </w:t>
            </w:r>
            <w:r w:rsidRPr="00CC0ADE">
              <w:rPr>
                <w:rFonts w:asciiTheme="minorHAnsi" w:hAnsiTheme="minorHAnsi" w:cstheme="minorHAnsi"/>
                <w:color w:val="000000"/>
                <w:kern w:val="24"/>
                <w:sz w:val="22"/>
                <w:szCs w:val="22"/>
              </w:rPr>
              <w:t>two pilot workshops with 60 delegates from NPS including managers and national/local union reps. Following the positive feedback received, the workshop package has now been shared with all HRBPs across HMPPS so that the commitment to improving manager capability can continue to be built upon regionally.</w:t>
            </w:r>
          </w:p>
          <w:p w:rsidR="005F3DBA" w:rsidRPr="00CC0ADE" w:rsidRDefault="005F3DBA" w:rsidP="00CC0ADE">
            <w:pPr>
              <w:rPr>
                <w:rFonts w:asciiTheme="minorHAnsi" w:hAnsiTheme="minorHAnsi" w:cstheme="minorHAnsi"/>
                <w:sz w:val="22"/>
                <w:szCs w:val="22"/>
              </w:rPr>
            </w:pPr>
          </w:p>
          <w:p w:rsidR="005F3DBA" w:rsidRPr="00CC0ADE" w:rsidRDefault="005F3DBA" w:rsidP="00CC0ADE">
            <w:pPr>
              <w:rPr>
                <w:rFonts w:asciiTheme="minorHAnsi" w:hAnsiTheme="minorHAnsi" w:cstheme="minorHAnsi"/>
                <w:sz w:val="22"/>
                <w:szCs w:val="22"/>
              </w:rPr>
            </w:pPr>
            <w:r w:rsidRPr="00CC0ADE">
              <w:rPr>
                <w:rFonts w:asciiTheme="minorHAnsi" w:hAnsiTheme="minorHAnsi" w:cstheme="minorHAnsi"/>
                <w:sz w:val="22"/>
                <w:szCs w:val="22"/>
              </w:rPr>
              <w:t>The HMPPS HR Directorate have had further meetings with the HMPPS Disability Network lead in relation to Reasonable Adjustments and are now in the process of developing a ‘Reasonable Adjustment Passport’ and supporting guidance in liaison with key stakeholders. These products will be shared with trade unions once developed.</w:t>
            </w:r>
          </w:p>
          <w:p w:rsidR="002C32C2" w:rsidRPr="00CC0ADE" w:rsidRDefault="002C32C2" w:rsidP="00CC0ADE">
            <w:pPr>
              <w:rPr>
                <w:rFonts w:asciiTheme="minorHAnsi" w:hAnsiTheme="minorHAnsi" w:cstheme="minorHAnsi"/>
                <w:sz w:val="22"/>
                <w:szCs w:val="22"/>
              </w:rPr>
            </w:pPr>
          </w:p>
          <w:p w:rsidR="00FB48DA" w:rsidRDefault="002C32C2" w:rsidP="00CC0ADE">
            <w:pPr>
              <w:rPr>
                <w:rFonts w:asciiTheme="minorHAnsi" w:hAnsiTheme="minorHAnsi" w:cstheme="minorHAnsi"/>
                <w:sz w:val="22"/>
                <w:szCs w:val="22"/>
              </w:rPr>
            </w:pPr>
            <w:r w:rsidRPr="00CC0ADE">
              <w:rPr>
                <w:rFonts w:asciiTheme="minorHAnsi" w:hAnsiTheme="minorHAnsi" w:cstheme="minorHAnsi"/>
                <w:sz w:val="22"/>
                <w:szCs w:val="22"/>
              </w:rPr>
              <w:t>In January 2018 a review of the Attendance Management policy implementation was issued to trade unions, which included some high level unsatisfactory attendance (UA) MI which compared UA warnings issued in the first year of the new policy in comparison to the last year of the old policy. Getting accurate UA MI continues to</w:t>
            </w:r>
            <w:r w:rsidR="0082412E" w:rsidRPr="00CC0ADE">
              <w:rPr>
                <w:rFonts w:asciiTheme="minorHAnsi" w:hAnsiTheme="minorHAnsi" w:cstheme="minorHAnsi"/>
                <w:sz w:val="22"/>
                <w:szCs w:val="22"/>
              </w:rPr>
              <w:t xml:space="preserve"> be an issue, including attendance equality MI</w:t>
            </w:r>
            <w:r w:rsidR="00CC0ADE" w:rsidRPr="00CC0ADE">
              <w:rPr>
                <w:rFonts w:asciiTheme="minorHAnsi" w:hAnsiTheme="minorHAnsi" w:cstheme="minorHAnsi"/>
                <w:sz w:val="22"/>
                <w:szCs w:val="22"/>
              </w:rPr>
              <w:t>.</w:t>
            </w:r>
          </w:p>
          <w:p w:rsidR="00B95EB0" w:rsidRPr="00CC0ADE" w:rsidRDefault="00B95EB0"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rPr>
                <w:rFonts w:asciiTheme="minorHAnsi" w:hAnsiTheme="minorHAnsi" w:cstheme="minorHAnsi"/>
                <w:sz w:val="22"/>
                <w:szCs w:val="22"/>
              </w:rPr>
            </w:pPr>
          </w:p>
        </w:tc>
      </w:tr>
      <w:tr w:rsidR="00FB48DA" w:rsidRPr="00CC0ADE" w:rsidTr="00714D59">
        <w:trPr>
          <w:cantSplit/>
        </w:trPr>
        <w:tc>
          <w:tcPr>
            <w:tcW w:w="9026" w:type="dxa"/>
            <w:gridSpan w:val="6"/>
            <w:shd w:val="clear" w:color="auto" w:fill="auto"/>
          </w:tcPr>
          <w:p w:rsidR="00A05BA9"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lastRenderedPageBreak/>
              <w:t>The nine characteristics protected under the Equality Act 2010 are below. Your product may be relevant to all of them. Use these sections to evidence how you have considered, promoted or otherwise advanced your product with reference to any of them.</w:t>
            </w:r>
          </w:p>
          <w:p w:rsidR="00FB48DA" w:rsidRPr="00CC0ADE" w:rsidRDefault="00A05BA9" w:rsidP="00CC0ADE">
            <w:pPr>
              <w:keepNext/>
              <w:rPr>
                <w:rFonts w:asciiTheme="minorHAnsi" w:hAnsiTheme="minorHAnsi" w:cstheme="minorHAnsi"/>
                <w:b/>
                <w:sz w:val="22"/>
                <w:szCs w:val="22"/>
              </w:rPr>
            </w:pPr>
            <w:r w:rsidRPr="00CC0ADE">
              <w:rPr>
                <w:rFonts w:asciiTheme="minorHAnsi" w:hAnsiTheme="minorHAnsi" w:cstheme="minorHAnsi"/>
                <w:b/>
                <w:sz w:val="22"/>
                <w:szCs w:val="22"/>
              </w:rPr>
              <w:t xml:space="preserve"> </w:t>
            </w: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D43434">
              <w:rPr>
                <w:rFonts w:asciiTheme="minorHAnsi" w:hAnsiTheme="minorHAnsi" w:cstheme="minorHAnsi"/>
                <w:b/>
                <w:sz w:val="22"/>
                <w:szCs w:val="22"/>
              </w:rPr>
              <w:t>1. Age</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C3818" w:rsidRDefault="007F10BB" w:rsidP="00FC3818">
            <w:pPr>
              <w:pStyle w:val="CommentText"/>
            </w:pPr>
            <w:r w:rsidRPr="00CC0ADE">
              <w:rPr>
                <w:rFonts w:asciiTheme="minorHAnsi" w:hAnsiTheme="minorHAnsi" w:cstheme="minorHAnsi"/>
                <w:sz w:val="22"/>
                <w:szCs w:val="22"/>
              </w:rPr>
              <w:t>It is widely reported that older workers have higher levels of sickness absence. ONS reported in February 2014 that employees aged 50-64 have the highest absence rate (2.8%)</w:t>
            </w:r>
            <w:r w:rsidR="007C55F1" w:rsidRPr="00CC0ADE">
              <w:rPr>
                <w:rFonts w:asciiTheme="minorHAnsi" w:hAnsiTheme="minorHAnsi" w:cstheme="minorHAnsi"/>
                <w:sz w:val="22"/>
                <w:szCs w:val="22"/>
              </w:rPr>
              <w:t>,</w:t>
            </w:r>
            <w:r w:rsidRPr="00CC0ADE">
              <w:rPr>
                <w:rFonts w:asciiTheme="minorHAnsi" w:hAnsiTheme="minorHAnsi" w:cstheme="minorHAnsi"/>
                <w:sz w:val="22"/>
                <w:szCs w:val="22"/>
              </w:rPr>
              <w:t xml:space="preserve"> Civil Service absence levels reflect this trend.</w:t>
            </w:r>
            <w:r w:rsidR="00FC3818">
              <w:rPr>
                <w:rFonts w:asciiTheme="minorHAnsi" w:hAnsiTheme="minorHAnsi" w:cstheme="minorHAnsi"/>
                <w:sz w:val="22"/>
                <w:szCs w:val="22"/>
              </w:rPr>
              <w:t xml:space="preserve"> Line </w:t>
            </w:r>
            <w:r w:rsidR="00FC3818" w:rsidRPr="00FC3818">
              <w:rPr>
                <w:rFonts w:asciiTheme="minorHAnsi" w:hAnsiTheme="minorHAnsi" w:cstheme="minorHAnsi"/>
                <w:sz w:val="22"/>
                <w:szCs w:val="22"/>
              </w:rPr>
              <w:t xml:space="preserve">managers </w:t>
            </w:r>
            <w:r w:rsidR="00FC3818">
              <w:rPr>
                <w:rFonts w:asciiTheme="minorHAnsi" w:hAnsiTheme="minorHAnsi" w:cstheme="minorHAnsi"/>
                <w:sz w:val="22"/>
                <w:szCs w:val="22"/>
              </w:rPr>
              <w:t>c</w:t>
            </w:r>
            <w:r w:rsidR="00FC3818" w:rsidRPr="00FC3818">
              <w:rPr>
                <w:rFonts w:asciiTheme="minorHAnsi" w:hAnsiTheme="minorHAnsi" w:cstheme="minorHAnsi"/>
                <w:sz w:val="22"/>
                <w:szCs w:val="22"/>
              </w:rPr>
              <w:t xml:space="preserve">ould review the local </w:t>
            </w:r>
            <w:r w:rsidR="00FC3818">
              <w:rPr>
                <w:rFonts w:asciiTheme="minorHAnsi" w:hAnsiTheme="minorHAnsi" w:cstheme="minorHAnsi"/>
                <w:sz w:val="22"/>
                <w:szCs w:val="22"/>
              </w:rPr>
              <w:t xml:space="preserve">sickness absence </w:t>
            </w:r>
            <w:r w:rsidR="00FC3818" w:rsidRPr="00FC3818">
              <w:rPr>
                <w:rFonts w:asciiTheme="minorHAnsi" w:hAnsiTheme="minorHAnsi" w:cstheme="minorHAnsi"/>
                <w:sz w:val="22"/>
                <w:szCs w:val="22"/>
              </w:rPr>
              <w:t>data for staff of a similar age prior to making a decision to give a warning that may lead to remedial action to further ensure age related sickness is correctly mitigated</w:t>
            </w:r>
            <w:r w:rsidR="00FC3818">
              <w:rPr>
                <w:rFonts w:asciiTheme="minorHAnsi" w:hAnsiTheme="minorHAnsi" w:cstheme="minorHAnsi"/>
                <w:sz w:val="22"/>
                <w:szCs w:val="22"/>
              </w:rPr>
              <w:t>.</w:t>
            </w:r>
            <w:r w:rsidR="00FC3818" w:rsidRPr="00FC3818">
              <w:rPr>
                <w:rFonts w:asciiTheme="minorHAnsi" w:hAnsiTheme="minorHAnsi" w:cstheme="minorHAnsi"/>
                <w:sz w:val="22"/>
                <w:szCs w:val="22"/>
              </w:rPr>
              <w:t xml:space="preserve"> Any adverse impact </w:t>
            </w:r>
            <w:r w:rsidR="00FC3818">
              <w:rPr>
                <w:rFonts w:asciiTheme="minorHAnsi" w:hAnsiTheme="minorHAnsi" w:cstheme="minorHAnsi"/>
                <w:sz w:val="22"/>
                <w:szCs w:val="22"/>
              </w:rPr>
              <w:t>will</w:t>
            </w:r>
            <w:r w:rsidR="00FC3818" w:rsidRPr="00FC3818">
              <w:rPr>
                <w:rFonts w:asciiTheme="minorHAnsi" w:hAnsiTheme="minorHAnsi" w:cstheme="minorHAnsi"/>
                <w:sz w:val="22"/>
                <w:szCs w:val="22"/>
              </w:rPr>
              <w:t xml:space="preserve"> be monitored and reviewed on an annual basis with a view to refocussing the policy to remain within the P</w:t>
            </w:r>
            <w:r w:rsidR="00FC3818">
              <w:rPr>
                <w:rFonts w:asciiTheme="minorHAnsi" w:hAnsiTheme="minorHAnsi" w:cstheme="minorHAnsi"/>
                <w:sz w:val="22"/>
                <w:szCs w:val="22"/>
              </w:rPr>
              <w:t xml:space="preserve">ublic </w:t>
            </w:r>
            <w:r w:rsidR="00FC3818" w:rsidRPr="00FC3818">
              <w:rPr>
                <w:rFonts w:asciiTheme="minorHAnsi" w:hAnsiTheme="minorHAnsi" w:cstheme="minorHAnsi"/>
                <w:sz w:val="22"/>
                <w:szCs w:val="22"/>
              </w:rPr>
              <w:t>S</w:t>
            </w:r>
            <w:r w:rsidR="00FC3818">
              <w:rPr>
                <w:rFonts w:asciiTheme="minorHAnsi" w:hAnsiTheme="minorHAnsi" w:cstheme="minorHAnsi"/>
                <w:sz w:val="22"/>
                <w:szCs w:val="22"/>
              </w:rPr>
              <w:t xml:space="preserve">ector </w:t>
            </w:r>
            <w:r w:rsidR="00FC3818" w:rsidRPr="00FC3818">
              <w:rPr>
                <w:rFonts w:asciiTheme="minorHAnsi" w:hAnsiTheme="minorHAnsi" w:cstheme="minorHAnsi"/>
                <w:sz w:val="22"/>
                <w:szCs w:val="22"/>
              </w:rPr>
              <w:t>E</w:t>
            </w:r>
            <w:r w:rsidR="00FC3818">
              <w:rPr>
                <w:rFonts w:asciiTheme="minorHAnsi" w:hAnsiTheme="minorHAnsi" w:cstheme="minorHAnsi"/>
                <w:sz w:val="22"/>
                <w:szCs w:val="22"/>
              </w:rPr>
              <w:t xml:space="preserve">quality </w:t>
            </w:r>
            <w:r w:rsidR="00FC3818" w:rsidRPr="00FC3818">
              <w:rPr>
                <w:rFonts w:asciiTheme="minorHAnsi" w:hAnsiTheme="minorHAnsi" w:cstheme="minorHAnsi"/>
                <w:sz w:val="22"/>
                <w:szCs w:val="22"/>
              </w:rPr>
              <w:t>D</w:t>
            </w:r>
            <w:r w:rsidR="00FC3818">
              <w:rPr>
                <w:rFonts w:asciiTheme="minorHAnsi" w:hAnsiTheme="minorHAnsi" w:cstheme="minorHAnsi"/>
                <w:sz w:val="22"/>
                <w:szCs w:val="22"/>
              </w:rPr>
              <w:t>uty.</w:t>
            </w:r>
          </w:p>
          <w:p w:rsidR="00CC0ADE" w:rsidRDefault="00CC0ADE" w:rsidP="00CC0ADE">
            <w:pPr>
              <w:pStyle w:val="ListNumber"/>
              <w:numPr>
                <w:ilvl w:val="0"/>
                <w:numId w:val="0"/>
              </w:numPr>
              <w:spacing w:after="0"/>
              <w:rPr>
                <w:rFonts w:asciiTheme="minorHAnsi" w:hAnsiTheme="minorHAnsi" w:cstheme="minorHAnsi"/>
                <w:sz w:val="22"/>
                <w:szCs w:val="22"/>
              </w:rPr>
            </w:pPr>
          </w:p>
          <w:p w:rsidR="00CC0ADE" w:rsidRPr="00055759" w:rsidRDefault="005A0D42" w:rsidP="003125A8">
            <w:pPr>
              <w:jc w:val="both"/>
              <w:rPr>
                <w:rFonts w:asciiTheme="minorHAnsi" w:hAnsiTheme="minorHAnsi" w:cstheme="minorHAnsi"/>
                <w:color w:val="FF0000"/>
                <w:sz w:val="22"/>
                <w:lang w:val="en"/>
              </w:rPr>
            </w:pPr>
            <w:r w:rsidRPr="00055759">
              <w:rPr>
                <w:rFonts w:asciiTheme="minorHAnsi" w:hAnsiTheme="minorHAnsi" w:cstheme="minorHAnsi"/>
                <w:color w:val="FF0000"/>
                <w:sz w:val="22"/>
                <w:szCs w:val="22"/>
              </w:rPr>
              <w:t>This</w:t>
            </w:r>
            <w:r w:rsidR="00CC0ADE" w:rsidRPr="00055759">
              <w:rPr>
                <w:rFonts w:asciiTheme="minorHAnsi" w:hAnsiTheme="minorHAnsi" w:cstheme="minorHAnsi"/>
                <w:color w:val="FF0000"/>
                <w:sz w:val="22"/>
                <w:szCs w:val="22"/>
              </w:rPr>
              <w:t xml:space="preserve"> </w:t>
            </w:r>
            <w:r w:rsidRPr="00055759">
              <w:rPr>
                <w:rFonts w:asciiTheme="minorHAnsi" w:hAnsiTheme="minorHAnsi" w:cstheme="minorHAnsi"/>
                <w:color w:val="FF0000"/>
                <w:sz w:val="22"/>
                <w:szCs w:val="22"/>
              </w:rPr>
              <w:t>p</w:t>
            </w:r>
            <w:r w:rsidR="00CC0ADE" w:rsidRPr="00055759">
              <w:rPr>
                <w:rFonts w:asciiTheme="minorHAnsi" w:hAnsiTheme="minorHAnsi" w:cstheme="minorHAnsi"/>
                <w:color w:val="FF0000"/>
                <w:sz w:val="22"/>
                <w:szCs w:val="22"/>
              </w:rPr>
              <w:t>olicy allow</w:t>
            </w:r>
            <w:r w:rsidR="003125A8" w:rsidRPr="00055759">
              <w:rPr>
                <w:rFonts w:asciiTheme="minorHAnsi" w:hAnsiTheme="minorHAnsi" w:cstheme="minorHAnsi"/>
                <w:color w:val="FF0000"/>
                <w:sz w:val="22"/>
                <w:szCs w:val="22"/>
              </w:rPr>
              <w:t>s line</w:t>
            </w:r>
            <w:r w:rsidR="00CC0ADE" w:rsidRPr="00055759">
              <w:rPr>
                <w:rFonts w:asciiTheme="minorHAnsi" w:hAnsiTheme="minorHAnsi" w:cstheme="minorHAnsi"/>
                <w:color w:val="FF0000"/>
                <w:sz w:val="22"/>
                <w:szCs w:val="22"/>
              </w:rPr>
              <w:t xml:space="preserve"> managers to </w:t>
            </w:r>
            <w:r w:rsidR="003125A8" w:rsidRPr="00055759">
              <w:rPr>
                <w:rFonts w:asciiTheme="minorHAnsi" w:hAnsiTheme="minorHAnsi" w:cstheme="minorHAnsi"/>
                <w:color w:val="FF0000"/>
                <w:sz w:val="22"/>
                <w:szCs w:val="22"/>
              </w:rPr>
              <w:t xml:space="preserve">mitigate against this by </w:t>
            </w:r>
            <w:r w:rsidR="003125A8" w:rsidRPr="00055759">
              <w:rPr>
                <w:rFonts w:asciiTheme="minorHAnsi" w:hAnsiTheme="minorHAnsi" w:cstheme="minorHAnsi"/>
                <w:color w:val="FF0000"/>
                <w:sz w:val="22"/>
              </w:rPr>
              <w:t xml:space="preserve">using their discretion to decide not to issue a warning when an </w:t>
            </w:r>
            <w:r w:rsidR="003125A8" w:rsidRPr="00055759">
              <w:rPr>
                <w:rFonts w:asciiTheme="minorHAnsi" w:hAnsiTheme="minorHAnsi" w:cstheme="minorHAnsi"/>
                <w:color w:val="FF0000"/>
                <w:sz w:val="22"/>
                <w:lang w:val="en"/>
              </w:rPr>
              <w:t>employee reaches or exceeds their trigger point. Line managers</w:t>
            </w:r>
            <w:r w:rsidR="003125A8" w:rsidRPr="00055759">
              <w:rPr>
                <w:rFonts w:asciiTheme="minorHAnsi" w:hAnsiTheme="minorHAnsi" w:cstheme="minorHAnsi"/>
                <w:color w:val="FF0000"/>
                <w:sz w:val="22"/>
              </w:rPr>
              <w:t xml:space="preserve"> should consider the circumstances of the absence and the employee’s absence history. </w:t>
            </w:r>
            <w:r w:rsidR="003125A8" w:rsidRPr="00055759">
              <w:rPr>
                <w:rFonts w:asciiTheme="minorHAnsi" w:hAnsiTheme="minorHAnsi" w:cstheme="minorHAnsi"/>
                <w:color w:val="FF0000"/>
                <w:sz w:val="22"/>
                <w:lang w:val="en"/>
              </w:rPr>
              <w:t xml:space="preserve">In applying discretion over whether or not to issue a warning, line managers should consider the employee’s overall attendance record. A line manager may decide not to give a Written Improvement Warning following a sickness absence which is uncharacteristic for an employee who has a positive work-focused approach and whose sickness absence record is otherwise satisfactory. Occupational Health advice may help line managers to determine whether the employee is likely to be able to meet the attendance standard expected of them in future. </w:t>
            </w:r>
            <w:r w:rsidR="00042251" w:rsidRPr="00055759">
              <w:rPr>
                <w:rFonts w:asciiTheme="minorHAnsi" w:hAnsiTheme="minorHAnsi" w:cstheme="minorHAnsi"/>
                <w:color w:val="FF0000"/>
                <w:sz w:val="22"/>
                <w:szCs w:val="22"/>
              </w:rPr>
              <w:t>In dealing with individual cases, line managers are able to exercise discretion, and they need to look at individual circumstances once a trigger point has been reached and to tailor their action accordingly.</w:t>
            </w:r>
            <w:r w:rsidR="00042251" w:rsidRPr="00055759">
              <w:rPr>
                <w:color w:val="FF0000"/>
              </w:rPr>
              <w:t xml:space="preserve"> </w:t>
            </w:r>
            <w:r w:rsidR="003125A8" w:rsidRPr="00055759">
              <w:rPr>
                <w:rFonts w:asciiTheme="minorHAnsi" w:hAnsiTheme="minorHAnsi" w:cstheme="minorHAnsi"/>
                <w:color w:val="FF0000"/>
                <w:sz w:val="22"/>
                <w:szCs w:val="22"/>
              </w:rPr>
              <w:t xml:space="preserve">Further information on using discretion is available on </w:t>
            </w:r>
            <w:hyperlink r:id="rId10" w:history="1">
              <w:r w:rsidR="003125A8" w:rsidRPr="00055759">
                <w:rPr>
                  <w:rStyle w:val="Hyperlink"/>
                  <w:rFonts w:asciiTheme="minorHAnsi" w:hAnsiTheme="minorHAnsi" w:cstheme="minorHAnsi"/>
                  <w:color w:val="FF0000"/>
                  <w:sz w:val="22"/>
                  <w:szCs w:val="22"/>
                </w:rPr>
                <w:t>My Services</w:t>
              </w:r>
            </w:hyperlink>
            <w:r w:rsidR="003125A8" w:rsidRPr="00055759">
              <w:rPr>
                <w:rStyle w:val="Hyperlink"/>
                <w:rFonts w:asciiTheme="minorHAnsi" w:hAnsiTheme="minorHAnsi" w:cstheme="minorHAnsi"/>
                <w:color w:val="FF0000"/>
                <w:sz w:val="22"/>
                <w:szCs w:val="22"/>
                <w:u w:val="none"/>
              </w:rPr>
              <w:t>.</w:t>
            </w:r>
          </w:p>
          <w:p w:rsidR="003125A8" w:rsidRPr="00055759" w:rsidRDefault="003125A8" w:rsidP="003125A8">
            <w:pPr>
              <w:jc w:val="both"/>
              <w:rPr>
                <w:rFonts w:asciiTheme="minorHAnsi" w:hAnsiTheme="minorHAnsi" w:cstheme="minorHAnsi"/>
                <w:color w:val="FF0000"/>
                <w:sz w:val="22"/>
                <w:lang w:val="en"/>
              </w:rPr>
            </w:pPr>
          </w:p>
          <w:p w:rsidR="003125A8" w:rsidRPr="00A2783E" w:rsidRDefault="003125A8" w:rsidP="003125A8">
            <w:pPr>
              <w:autoSpaceDE w:val="0"/>
              <w:autoSpaceDN w:val="0"/>
              <w:adjustRightInd w:val="0"/>
              <w:jc w:val="both"/>
              <w:rPr>
                <w:rFonts w:ascii="Arial" w:hAnsi="Arial" w:cs="Arial"/>
              </w:rPr>
            </w:pPr>
            <w:r w:rsidRPr="00055759">
              <w:rPr>
                <w:rFonts w:asciiTheme="minorHAnsi" w:hAnsiTheme="minorHAnsi" w:cstheme="minorHAnsi"/>
                <w:color w:val="FF0000"/>
                <w:sz w:val="22"/>
                <w:lang w:val="en"/>
              </w:rPr>
              <w:t xml:space="preserve">Older employees are more likely require regular health screenings to preserve their health.  </w:t>
            </w:r>
            <w:r w:rsidRPr="00055759">
              <w:rPr>
                <w:rFonts w:asciiTheme="minorHAnsi" w:hAnsiTheme="minorHAnsi" w:cstheme="minorHAnsi"/>
                <w:color w:val="FF0000"/>
                <w:sz w:val="22"/>
                <w:szCs w:val="22"/>
              </w:rPr>
              <w:t xml:space="preserve">Employees should schedule medical appointments/health screenings outside of normal working hours. Exceptionally, when this is not possible employees should seek to arrange appointments that minimise the disruption to work, and paid time off should be allowed. A sympathetic approach should be taken to </w:t>
            </w:r>
            <w:r w:rsidR="005A0D42" w:rsidRPr="00055759">
              <w:rPr>
                <w:rFonts w:asciiTheme="minorHAnsi" w:hAnsiTheme="minorHAnsi" w:cstheme="minorHAnsi"/>
                <w:color w:val="FF0000"/>
                <w:sz w:val="22"/>
                <w:szCs w:val="22"/>
              </w:rPr>
              <w:t>employees</w:t>
            </w:r>
            <w:r w:rsidRPr="00055759">
              <w:rPr>
                <w:rFonts w:asciiTheme="minorHAnsi" w:hAnsiTheme="minorHAnsi" w:cstheme="minorHAnsi"/>
                <w:color w:val="FF0000"/>
                <w:sz w:val="22"/>
                <w:szCs w:val="22"/>
              </w:rPr>
              <w:t xml:space="preserve"> who are undergoing specialist treatment particularly in relation to facilitating paid time off to attend appointments.</w:t>
            </w:r>
            <w:r w:rsidRPr="00055759">
              <w:rPr>
                <w:rFonts w:ascii="Arial" w:hAnsi="Arial" w:cs="Arial"/>
                <w:color w:val="FF0000"/>
              </w:rPr>
              <w:t xml:space="preserve"> </w:t>
            </w:r>
            <w:r w:rsidR="005A0D42" w:rsidRPr="00055759">
              <w:rPr>
                <w:rFonts w:asciiTheme="minorHAnsi" w:hAnsiTheme="minorHAnsi" w:cstheme="minorHAnsi"/>
                <w:color w:val="FF0000"/>
                <w:sz w:val="22"/>
                <w:szCs w:val="22"/>
              </w:rPr>
              <w:t>Further information on this is available in the HMPPS Absence Management policy (PSI 18/2010 &amp; PI 33/2014</w:t>
            </w:r>
            <w:r w:rsidR="005A0D42">
              <w:rPr>
                <w:rFonts w:asciiTheme="minorHAnsi" w:hAnsiTheme="minorHAnsi" w:cstheme="minorHAnsi"/>
                <w:sz w:val="22"/>
                <w:szCs w:val="22"/>
              </w:rPr>
              <w:t>).</w:t>
            </w:r>
          </w:p>
          <w:p w:rsidR="00CC0ADE" w:rsidRPr="00CC0ADE" w:rsidRDefault="00CC0ADE" w:rsidP="00CC0ADE">
            <w:pPr>
              <w:pStyle w:val="ListNumber"/>
              <w:numPr>
                <w:ilvl w:val="0"/>
                <w:numId w:val="0"/>
              </w:numPr>
              <w:spacing w:after="0"/>
              <w:rPr>
                <w:rFonts w:asciiTheme="minorHAnsi" w:hAnsiTheme="minorHAnsi" w:cstheme="minorHAnsi"/>
                <w:sz w:val="22"/>
                <w:szCs w:val="22"/>
              </w:rPr>
            </w:pPr>
          </w:p>
          <w:p w:rsidR="003333A5" w:rsidRPr="00CC0ADE" w:rsidRDefault="007F10BB" w:rsidP="00CC0ADE">
            <w:pPr>
              <w:rPr>
                <w:rFonts w:asciiTheme="minorHAnsi" w:hAnsiTheme="minorHAnsi" w:cstheme="minorHAnsi"/>
                <w:sz w:val="22"/>
                <w:szCs w:val="22"/>
              </w:rPr>
            </w:pPr>
            <w:r w:rsidRPr="00CC0ADE">
              <w:rPr>
                <w:rFonts w:asciiTheme="minorHAnsi" w:hAnsiTheme="minorHAnsi" w:cstheme="minorHAnsi"/>
                <w:sz w:val="22"/>
                <w:szCs w:val="22"/>
              </w:rPr>
              <w:t>This policy will help managers to manage sickness absence fairly and consistently and encourages an approach which focuses on supporting employees back to work</w:t>
            </w:r>
            <w:r w:rsidR="00BE01E1" w:rsidRPr="00CC0ADE">
              <w:rPr>
                <w:rFonts w:asciiTheme="minorHAnsi" w:hAnsiTheme="minorHAnsi" w:cstheme="minorHAnsi"/>
                <w:sz w:val="22"/>
                <w:szCs w:val="22"/>
              </w:rPr>
              <w:t>, taking account of particular circumstances as appropriate</w:t>
            </w:r>
            <w:r w:rsidRPr="00CC0ADE">
              <w:rPr>
                <w:rFonts w:asciiTheme="minorHAnsi" w:hAnsiTheme="minorHAnsi" w:cstheme="minorHAnsi"/>
                <w:sz w:val="22"/>
                <w:szCs w:val="22"/>
              </w:rPr>
              <w:t xml:space="preserve">. </w:t>
            </w:r>
            <w:r w:rsidR="003333A5" w:rsidRPr="00CC0ADE">
              <w:rPr>
                <w:rFonts w:asciiTheme="minorHAnsi" w:hAnsiTheme="minorHAnsi" w:cstheme="minorHAnsi"/>
                <w:sz w:val="22"/>
                <w:szCs w:val="22"/>
              </w:rPr>
              <w:t>There is guidance available to support managers in dealing with a range of issues relating to attendance and sick absence.</w:t>
            </w:r>
          </w:p>
          <w:p w:rsidR="007F10BB" w:rsidRPr="00CC0ADE" w:rsidRDefault="007F10BB" w:rsidP="00CC0ADE">
            <w:pPr>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D43434">
              <w:rPr>
                <w:rFonts w:asciiTheme="minorHAnsi" w:hAnsiTheme="minorHAnsi" w:cstheme="minorHAnsi"/>
                <w:b/>
                <w:sz w:val="22"/>
                <w:szCs w:val="22"/>
              </w:rPr>
              <w:lastRenderedPageBreak/>
              <w:t>2. Disability</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DC4C4C" w:rsidRPr="00CC0ADE" w:rsidRDefault="00CC6402" w:rsidP="00CC0ADE">
            <w:pPr>
              <w:pStyle w:val="ListNumber"/>
              <w:numPr>
                <w:ilvl w:val="0"/>
                <w:numId w:val="0"/>
              </w:numPr>
              <w:spacing w:after="0"/>
              <w:ind w:left="34"/>
              <w:rPr>
                <w:rFonts w:asciiTheme="minorHAnsi" w:hAnsiTheme="minorHAnsi" w:cstheme="minorHAnsi"/>
                <w:sz w:val="22"/>
                <w:szCs w:val="22"/>
              </w:rPr>
            </w:pPr>
            <w:r w:rsidRPr="00CC0ADE">
              <w:rPr>
                <w:rFonts w:asciiTheme="minorHAnsi" w:hAnsiTheme="minorHAnsi" w:cstheme="minorHAnsi"/>
                <w:sz w:val="22"/>
                <w:szCs w:val="22"/>
              </w:rPr>
              <w:lastRenderedPageBreak/>
              <w:t>HMPPS</w:t>
            </w:r>
            <w:r w:rsidR="00DC4C4C" w:rsidRPr="00CC0ADE">
              <w:rPr>
                <w:rFonts w:asciiTheme="minorHAnsi" w:hAnsiTheme="minorHAnsi" w:cstheme="minorHAnsi"/>
                <w:sz w:val="22"/>
                <w:szCs w:val="22"/>
              </w:rPr>
              <w:t xml:space="preserve"> have the following arrangements in place to support the management of sickness absence for disabled staff:</w:t>
            </w:r>
          </w:p>
          <w:p w:rsidR="00714D59" w:rsidRPr="00CC0ADE" w:rsidRDefault="00714D59" w:rsidP="00CC0ADE">
            <w:pPr>
              <w:pStyle w:val="ListNumber"/>
              <w:numPr>
                <w:ilvl w:val="0"/>
                <w:numId w:val="0"/>
              </w:numPr>
              <w:spacing w:after="0"/>
              <w:ind w:left="34"/>
              <w:rPr>
                <w:rFonts w:asciiTheme="minorHAnsi" w:hAnsiTheme="minorHAnsi" w:cstheme="minorHAnsi"/>
                <w:sz w:val="22"/>
                <w:szCs w:val="22"/>
              </w:rPr>
            </w:pPr>
          </w:p>
          <w:p w:rsidR="00DC4C4C" w:rsidRPr="00CC0ADE" w:rsidRDefault="00DC4C4C" w:rsidP="00CC0ADE">
            <w:pPr>
              <w:pStyle w:val="ListBullet3"/>
              <w:spacing w:before="0" w:after="0"/>
              <w:rPr>
                <w:rFonts w:asciiTheme="minorHAnsi" w:hAnsiTheme="minorHAnsi" w:cstheme="minorHAnsi"/>
              </w:rPr>
            </w:pPr>
            <w:r w:rsidRPr="00CC0ADE">
              <w:rPr>
                <w:rFonts w:asciiTheme="minorHAnsi" w:hAnsiTheme="minorHAnsi" w:cstheme="minorHAnsi"/>
              </w:rPr>
              <w:t>disability leave policies</w:t>
            </w:r>
            <w:r w:rsidR="00E15852" w:rsidRPr="00CC0ADE">
              <w:rPr>
                <w:rFonts w:asciiTheme="minorHAnsi" w:hAnsiTheme="minorHAnsi" w:cstheme="minorHAnsi"/>
              </w:rPr>
              <w:t xml:space="preserve"> (part of Absence Management policy)</w:t>
            </w:r>
            <w:r w:rsidR="001C20AA" w:rsidRPr="00CC0ADE">
              <w:rPr>
                <w:rFonts w:asciiTheme="minorHAnsi" w:hAnsiTheme="minorHAnsi" w:cstheme="minorHAnsi"/>
              </w:rPr>
              <w:t>;</w:t>
            </w:r>
          </w:p>
          <w:p w:rsidR="00DC4C4C" w:rsidRPr="00CC0ADE" w:rsidRDefault="00DC4C4C" w:rsidP="00CC0ADE">
            <w:pPr>
              <w:pStyle w:val="ListBullet3"/>
              <w:spacing w:before="0" w:after="0"/>
              <w:rPr>
                <w:rFonts w:asciiTheme="minorHAnsi" w:hAnsiTheme="minorHAnsi" w:cstheme="minorHAnsi"/>
              </w:rPr>
            </w:pPr>
            <w:r w:rsidRPr="00CC0ADE">
              <w:rPr>
                <w:rFonts w:asciiTheme="minorHAnsi" w:hAnsiTheme="minorHAnsi" w:cstheme="minorHAnsi"/>
              </w:rPr>
              <w:t>guidance on making reasonable adjustments for disabled employees</w:t>
            </w:r>
            <w:r w:rsidR="003349C0" w:rsidRPr="00CC0ADE">
              <w:rPr>
                <w:rFonts w:asciiTheme="minorHAnsi" w:hAnsiTheme="minorHAnsi" w:cstheme="minorHAnsi"/>
              </w:rPr>
              <w:t xml:space="preserve"> (‘</w:t>
            </w:r>
            <w:hyperlink r:id="rId11" w:history="1">
              <w:r w:rsidR="00B22ABC" w:rsidRPr="00CC0ADE">
                <w:rPr>
                  <w:rStyle w:val="Hyperlink"/>
                  <w:rFonts w:asciiTheme="minorHAnsi" w:hAnsiTheme="minorHAnsi" w:cstheme="minorHAnsi"/>
                  <w:sz w:val="22"/>
                </w:rPr>
                <w:t>How to Guide</w:t>
              </w:r>
            </w:hyperlink>
            <w:r w:rsidR="003349C0" w:rsidRPr="00CC0ADE">
              <w:rPr>
                <w:rFonts w:asciiTheme="minorHAnsi" w:hAnsiTheme="minorHAnsi" w:cstheme="minorHAnsi"/>
              </w:rPr>
              <w:t>’ available on considering reasonable adjustments)</w:t>
            </w:r>
            <w:r w:rsidR="001C20AA" w:rsidRPr="00CC0ADE">
              <w:rPr>
                <w:rFonts w:asciiTheme="minorHAnsi" w:hAnsiTheme="minorHAnsi" w:cstheme="minorHAnsi"/>
              </w:rPr>
              <w:t>;</w:t>
            </w:r>
          </w:p>
          <w:p w:rsidR="00DC4C4C" w:rsidRPr="00CC0ADE" w:rsidRDefault="00DC4C4C" w:rsidP="00CC0ADE">
            <w:pPr>
              <w:pStyle w:val="ListBullet3"/>
              <w:spacing w:before="0" w:after="0"/>
              <w:rPr>
                <w:rFonts w:asciiTheme="minorHAnsi" w:hAnsiTheme="minorHAnsi" w:cstheme="minorHAnsi"/>
              </w:rPr>
            </w:pPr>
            <w:r w:rsidRPr="00CC0ADE">
              <w:rPr>
                <w:rFonts w:asciiTheme="minorHAnsi" w:hAnsiTheme="minorHAnsi" w:cstheme="minorHAnsi"/>
              </w:rPr>
              <w:t>guidance on planning for a return to work</w:t>
            </w:r>
            <w:r w:rsidR="003349C0" w:rsidRPr="00CC0ADE">
              <w:rPr>
                <w:rFonts w:asciiTheme="minorHAnsi" w:hAnsiTheme="minorHAnsi" w:cstheme="minorHAnsi"/>
              </w:rPr>
              <w:t xml:space="preserve"> (‘</w:t>
            </w:r>
            <w:hyperlink r:id="rId12" w:history="1">
              <w:r w:rsidR="003349C0" w:rsidRPr="00CC0ADE">
                <w:rPr>
                  <w:rStyle w:val="Hyperlink"/>
                  <w:rFonts w:asciiTheme="minorHAnsi" w:hAnsiTheme="minorHAnsi" w:cstheme="minorHAnsi"/>
                  <w:sz w:val="22"/>
                </w:rPr>
                <w:t>How to Guide</w:t>
              </w:r>
            </w:hyperlink>
            <w:r w:rsidR="003349C0" w:rsidRPr="00CC0ADE">
              <w:rPr>
                <w:rFonts w:asciiTheme="minorHAnsi" w:hAnsiTheme="minorHAnsi" w:cstheme="minorHAnsi"/>
              </w:rPr>
              <w:t>’ available on managing a phased return to work)</w:t>
            </w:r>
            <w:r w:rsidRPr="00CC0ADE">
              <w:rPr>
                <w:rFonts w:asciiTheme="minorHAnsi" w:hAnsiTheme="minorHAnsi" w:cstheme="minorHAnsi"/>
              </w:rPr>
              <w:t>.</w:t>
            </w:r>
          </w:p>
          <w:p w:rsidR="00714D59" w:rsidRPr="00CC0ADE" w:rsidRDefault="00714D59" w:rsidP="00CC0ADE">
            <w:pPr>
              <w:pStyle w:val="ListBullet3"/>
              <w:numPr>
                <w:ilvl w:val="0"/>
                <w:numId w:val="0"/>
              </w:numPr>
              <w:spacing w:before="0" w:after="0"/>
              <w:ind w:left="885"/>
              <w:rPr>
                <w:rFonts w:asciiTheme="minorHAnsi" w:hAnsiTheme="minorHAnsi" w:cstheme="minorHAnsi"/>
              </w:rPr>
            </w:pPr>
          </w:p>
          <w:p w:rsidR="00FB48DA" w:rsidRPr="00CC0ADE" w:rsidRDefault="00DC4C4C" w:rsidP="00CC0ADE">
            <w:pPr>
              <w:pStyle w:val="ListNumber"/>
              <w:numPr>
                <w:ilvl w:val="0"/>
                <w:numId w:val="0"/>
              </w:numPr>
              <w:spacing w:after="0"/>
              <w:ind w:left="34"/>
              <w:rPr>
                <w:rFonts w:asciiTheme="minorHAnsi" w:hAnsiTheme="minorHAnsi" w:cstheme="minorHAnsi"/>
                <w:sz w:val="22"/>
                <w:szCs w:val="22"/>
              </w:rPr>
            </w:pPr>
            <w:r w:rsidRPr="00CC0ADE">
              <w:rPr>
                <w:rFonts w:asciiTheme="minorHAnsi" w:hAnsiTheme="minorHAnsi" w:cstheme="minorHAnsi"/>
                <w:sz w:val="22"/>
                <w:szCs w:val="22"/>
              </w:rPr>
              <w:t xml:space="preserve">Stakeholder consultation during the development of the policy identified some areas where the policy, procedure and advice might be strengthened </w:t>
            </w:r>
            <w:r w:rsidR="00CB7699">
              <w:rPr>
                <w:rFonts w:asciiTheme="minorHAnsi" w:hAnsiTheme="minorHAnsi" w:cstheme="minorHAnsi"/>
                <w:sz w:val="22"/>
                <w:szCs w:val="22"/>
              </w:rPr>
              <w:t xml:space="preserve">and improved </w:t>
            </w:r>
            <w:r w:rsidRPr="00CC0ADE">
              <w:rPr>
                <w:rFonts w:asciiTheme="minorHAnsi" w:hAnsiTheme="minorHAnsi" w:cstheme="minorHAnsi"/>
                <w:sz w:val="22"/>
                <w:szCs w:val="22"/>
              </w:rPr>
              <w:t>to take the ne</w:t>
            </w:r>
            <w:r w:rsidR="00CB7699">
              <w:rPr>
                <w:rFonts w:asciiTheme="minorHAnsi" w:hAnsiTheme="minorHAnsi" w:cstheme="minorHAnsi"/>
                <w:sz w:val="22"/>
                <w:szCs w:val="22"/>
              </w:rPr>
              <w:t>eds of disabled employees</w:t>
            </w:r>
            <w:r w:rsidRPr="00CC0ADE">
              <w:rPr>
                <w:rFonts w:asciiTheme="minorHAnsi" w:hAnsiTheme="minorHAnsi" w:cstheme="minorHAnsi"/>
                <w:sz w:val="22"/>
                <w:szCs w:val="22"/>
              </w:rPr>
              <w:t xml:space="preserve"> into account.</w:t>
            </w:r>
            <w:r w:rsidR="00EF7822">
              <w:rPr>
                <w:rFonts w:asciiTheme="minorHAnsi" w:hAnsiTheme="minorHAnsi" w:cstheme="minorHAnsi"/>
                <w:sz w:val="22"/>
                <w:szCs w:val="22"/>
              </w:rPr>
              <w:t xml:space="preserve"> </w:t>
            </w:r>
            <w:r w:rsidRPr="00CC0ADE">
              <w:rPr>
                <w:rFonts w:asciiTheme="minorHAnsi" w:hAnsiTheme="minorHAnsi" w:cstheme="minorHAnsi"/>
                <w:sz w:val="22"/>
                <w:szCs w:val="22"/>
              </w:rPr>
              <w:t>These included highlighting a manager’s responsibility to take potential reasonable adjustments into account throughout the Attendance Management procedures and providing advice for managers where an employee is suffering from an illness of a personal or distressing nature.</w:t>
            </w:r>
            <w:r w:rsidR="00EF7822">
              <w:rPr>
                <w:rFonts w:asciiTheme="minorHAnsi" w:hAnsiTheme="minorHAnsi" w:cstheme="minorHAnsi"/>
                <w:sz w:val="22"/>
                <w:szCs w:val="22"/>
              </w:rPr>
              <w:t xml:space="preserve"> </w:t>
            </w:r>
            <w:r w:rsidRPr="00CC0ADE">
              <w:rPr>
                <w:rFonts w:asciiTheme="minorHAnsi" w:hAnsiTheme="minorHAnsi" w:cstheme="minorHAnsi"/>
                <w:sz w:val="22"/>
                <w:szCs w:val="22"/>
              </w:rPr>
              <w:t>Managers are also empowered to use judg</w:t>
            </w:r>
            <w:r w:rsidR="00E47B5E">
              <w:rPr>
                <w:rFonts w:asciiTheme="minorHAnsi" w:hAnsiTheme="minorHAnsi" w:cstheme="minorHAnsi"/>
                <w:sz w:val="22"/>
                <w:szCs w:val="22"/>
              </w:rPr>
              <w:t>e</w:t>
            </w:r>
            <w:r w:rsidRPr="00CC0ADE">
              <w:rPr>
                <w:rFonts w:asciiTheme="minorHAnsi" w:hAnsiTheme="minorHAnsi" w:cstheme="minorHAnsi"/>
                <w:sz w:val="22"/>
                <w:szCs w:val="22"/>
              </w:rPr>
              <w:t xml:space="preserve">ment and discretion in instigating formal action when dealing with these absences. </w:t>
            </w:r>
            <w:r w:rsidR="00A05BA9" w:rsidRPr="00CC0ADE">
              <w:rPr>
                <w:rFonts w:asciiTheme="minorHAnsi" w:hAnsiTheme="minorHAnsi" w:cstheme="minorHAnsi"/>
                <w:sz w:val="22"/>
                <w:szCs w:val="22"/>
              </w:rPr>
              <w:t>This</w:t>
            </w:r>
            <w:r w:rsidRPr="00CC0ADE">
              <w:rPr>
                <w:rFonts w:asciiTheme="minorHAnsi" w:hAnsiTheme="minorHAnsi" w:cstheme="minorHAnsi"/>
                <w:sz w:val="22"/>
                <w:szCs w:val="22"/>
              </w:rPr>
              <w:t xml:space="preserve"> policy and procedure will support this approach and promote good practice in the management of sickness absence for disabled</w:t>
            </w:r>
            <w:r w:rsidR="003333A5" w:rsidRPr="00CC0ADE">
              <w:rPr>
                <w:rFonts w:asciiTheme="minorHAnsi" w:hAnsiTheme="minorHAnsi" w:cstheme="minorHAnsi"/>
                <w:sz w:val="22"/>
                <w:szCs w:val="22"/>
              </w:rPr>
              <w:t xml:space="preserve"> employees.</w:t>
            </w:r>
          </w:p>
          <w:p w:rsidR="00714D59" w:rsidRPr="00CC0ADE" w:rsidRDefault="00714D59" w:rsidP="00CC0ADE">
            <w:pPr>
              <w:pStyle w:val="ListNumber"/>
              <w:numPr>
                <w:ilvl w:val="0"/>
                <w:numId w:val="0"/>
              </w:numPr>
              <w:spacing w:after="0"/>
              <w:ind w:left="34"/>
              <w:rPr>
                <w:rFonts w:asciiTheme="minorHAnsi" w:hAnsiTheme="minorHAnsi" w:cstheme="minorHAnsi"/>
                <w:sz w:val="22"/>
                <w:szCs w:val="22"/>
              </w:rPr>
            </w:pPr>
          </w:p>
          <w:p w:rsidR="00DE4970" w:rsidRPr="00055759" w:rsidRDefault="00DE4970" w:rsidP="00E47B5E">
            <w:pPr>
              <w:pStyle w:val="ListNumber"/>
              <w:numPr>
                <w:ilvl w:val="0"/>
                <w:numId w:val="0"/>
              </w:numPr>
              <w:spacing w:after="0"/>
              <w:ind w:left="34"/>
              <w:rPr>
                <w:rFonts w:asciiTheme="minorHAnsi" w:hAnsiTheme="minorHAnsi" w:cstheme="minorHAnsi"/>
                <w:color w:val="FF0000"/>
                <w:sz w:val="22"/>
                <w:szCs w:val="22"/>
              </w:rPr>
            </w:pPr>
            <w:r w:rsidRPr="00055759">
              <w:rPr>
                <w:rFonts w:asciiTheme="minorHAnsi" w:hAnsiTheme="minorHAnsi" w:cstheme="minorHAnsi"/>
                <w:color w:val="FF0000"/>
                <w:sz w:val="22"/>
                <w:szCs w:val="22"/>
              </w:rPr>
              <w:t>Although not specifically within the remit of the attendance management policy it should be highlighted that there have been a number of recent examples of recommended reasonable adjustments not being implemented due to difficulty in obtaining the required equipment. This is a particular proble</w:t>
            </w:r>
            <w:r w:rsidR="00E47B5E" w:rsidRPr="00055759">
              <w:rPr>
                <w:rFonts w:asciiTheme="minorHAnsi" w:hAnsiTheme="minorHAnsi" w:cstheme="minorHAnsi"/>
                <w:color w:val="FF0000"/>
                <w:sz w:val="22"/>
                <w:szCs w:val="22"/>
              </w:rPr>
              <w:t>m for assisted technology users, especially in the NPS, however, this should improve with the roll out of the Technology Transition Project (TTP), which should be completed in mid-2018 for NPS staff and the end of 2018 for all HMPPS staff. TTP should ensure that all assistive technology requirements are met as the needs of AT users have been integrated into the project.</w:t>
            </w:r>
          </w:p>
          <w:p w:rsidR="00E47B5E" w:rsidRPr="00E47B5E" w:rsidRDefault="00E47B5E" w:rsidP="00E47B5E">
            <w:pPr>
              <w:pStyle w:val="ListNumber"/>
              <w:numPr>
                <w:ilvl w:val="0"/>
                <w:numId w:val="0"/>
              </w:numPr>
              <w:spacing w:after="0"/>
              <w:ind w:left="34"/>
              <w:rPr>
                <w:rFonts w:asciiTheme="minorHAnsi" w:hAnsiTheme="minorHAnsi" w:cstheme="minorHAnsi"/>
                <w:sz w:val="22"/>
                <w:szCs w:val="22"/>
              </w:rPr>
            </w:pPr>
          </w:p>
          <w:p w:rsidR="00FC3818" w:rsidRPr="00055759" w:rsidRDefault="00E47B5E" w:rsidP="00FC3818">
            <w:pPr>
              <w:pStyle w:val="CommentText"/>
              <w:rPr>
                <w:color w:val="FF0000"/>
              </w:rPr>
            </w:pPr>
            <w:r w:rsidRPr="00055759">
              <w:rPr>
                <w:rFonts w:asciiTheme="minorHAnsi" w:hAnsiTheme="minorHAnsi" w:cstheme="minorHAnsi"/>
                <w:color w:val="FF0000"/>
                <w:sz w:val="22"/>
                <w:szCs w:val="22"/>
              </w:rPr>
              <w:t>Accessibility to buildings for staff with disabilities is also a concern, however, there is a move across all government departments to have an accessibility champion in place to make sure that all departments meet the civil service and country wide governance around this area.  There are a large number of establishments in the NPS that are not accessible for staff with disabilities, which is something that HMPPS recognise and need to address. In the first instance local senior managers should be trying to resolve accessibility issues and to escalate accordingly if these issues are not resolved satisfactorily. An accessibility champion will help the service to move forward and become more compliant with the needs of disabled staff.</w:t>
            </w:r>
            <w:r w:rsidR="00FC3818" w:rsidRPr="00055759">
              <w:rPr>
                <w:rFonts w:asciiTheme="minorHAnsi" w:hAnsiTheme="minorHAnsi" w:cstheme="minorHAnsi"/>
                <w:color w:val="FF0000"/>
                <w:sz w:val="22"/>
                <w:szCs w:val="22"/>
              </w:rPr>
              <w:t xml:space="preserve"> Where reasonable adjustments are not in place managers must review the impact of this on the </w:t>
            </w:r>
            <w:r w:rsidR="00CB7699" w:rsidRPr="00055759">
              <w:rPr>
                <w:rFonts w:asciiTheme="minorHAnsi" w:hAnsiTheme="minorHAnsi" w:cstheme="minorHAnsi"/>
                <w:color w:val="FF0000"/>
                <w:sz w:val="22"/>
                <w:szCs w:val="22"/>
              </w:rPr>
              <w:t>individual’s</w:t>
            </w:r>
            <w:r w:rsidR="00FC3818" w:rsidRPr="00055759">
              <w:rPr>
                <w:rFonts w:asciiTheme="minorHAnsi" w:hAnsiTheme="minorHAnsi" w:cstheme="minorHAnsi"/>
                <w:color w:val="FF0000"/>
                <w:sz w:val="22"/>
                <w:szCs w:val="22"/>
              </w:rPr>
              <w:t xml:space="preserve"> sickness absence prior to taking any remedial action. This must be documented and reviewed after the reasonable adjustments are put in place. This should be done irrespective if a reasonable adjustment was to forego a warning letter.</w:t>
            </w:r>
          </w:p>
          <w:p w:rsidR="00E47B5E" w:rsidRDefault="00E47B5E" w:rsidP="00E47B5E">
            <w:pPr>
              <w:rPr>
                <w:rFonts w:asciiTheme="minorHAnsi" w:hAnsiTheme="minorHAnsi" w:cstheme="minorHAnsi"/>
                <w:sz w:val="22"/>
                <w:szCs w:val="22"/>
              </w:rPr>
            </w:pPr>
          </w:p>
          <w:p w:rsidR="00EF7822" w:rsidRPr="00055759" w:rsidRDefault="00E47B5E" w:rsidP="00EF7822">
            <w:pPr>
              <w:pStyle w:val="numbered"/>
              <w:numPr>
                <w:ilvl w:val="0"/>
                <w:numId w:val="0"/>
              </w:numPr>
              <w:spacing w:after="0"/>
              <w:jc w:val="both"/>
              <w:rPr>
                <w:rFonts w:asciiTheme="minorHAnsi" w:hAnsiTheme="minorHAnsi" w:cstheme="minorHAnsi"/>
                <w:color w:val="FF0000"/>
              </w:rPr>
            </w:pPr>
            <w:r w:rsidRPr="00055759">
              <w:rPr>
                <w:rFonts w:asciiTheme="minorHAnsi" w:hAnsiTheme="minorHAnsi" w:cstheme="minorHAnsi"/>
                <w:color w:val="FF0000"/>
                <w:szCs w:val="22"/>
              </w:rPr>
              <w:t>The HMPPS HR Directorate, in liaison with the HMPPS Disability Network lead, are now in the process of developing a ‘Reasonable Adjustment Passport’ and supporting guidance.</w:t>
            </w:r>
            <w:r w:rsidR="00EF7822" w:rsidRPr="00055759">
              <w:rPr>
                <w:rFonts w:asciiTheme="minorHAnsi" w:hAnsiTheme="minorHAnsi" w:cstheme="minorHAnsi"/>
                <w:color w:val="FF0000"/>
                <w:szCs w:val="22"/>
              </w:rPr>
              <w:t xml:space="preserve"> </w:t>
            </w:r>
            <w:r w:rsidR="00EF7822" w:rsidRPr="00055759">
              <w:rPr>
                <w:rFonts w:asciiTheme="minorHAnsi" w:hAnsiTheme="minorHAnsi" w:cstheme="minorHAnsi"/>
                <w:color w:val="FF0000"/>
              </w:rPr>
              <w:t>The aim of the Workplace Adjustment Passport is to improve the ease with which employees with a disability, health condition or where other workplace adjustments may be needed, can move jobs in the Civil Service. There are three functions within the passport:</w:t>
            </w:r>
          </w:p>
          <w:p w:rsidR="00EF7822" w:rsidRPr="00EF7822" w:rsidRDefault="00EF7822" w:rsidP="00EF7822">
            <w:pPr>
              <w:pStyle w:val="numbered"/>
              <w:numPr>
                <w:ilvl w:val="0"/>
                <w:numId w:val="0"/>
              </w:numPr>
              <w:spacing w:after="0"/>
              <w:jc w:val="both"/>
              <w:rPr>
                <w:rFonts w:asciiTheme="minorHAnsi" w:hAnsiTheme="minorHAnsi" w:cstheme="minorHAnsi"/>
              </w:rPr>
            </w:pPr>
          </w:p>
          <w:p w:rsidR="00EF7822" w:rsidRPr="00055759" w:rsidRDefault="00EF7822" w:rsidP="00B27A61">
            <w:pPr>
              <w:pStyle w:val="text"/>
              <w:numPr>
                <w:ilvl w:val="0"/>
                <w:numId w:val="6"/>
              </w:numPr>
              <w:spacing w:after="0"/>
              <w:ind w:left="709" w:hanging="283"/>
              <w:jc w:val="both"/>
              <w:rPr>
                <w:rFonts w:asciiTheme="minorHAnsi" w:hAnsiTheme="minorHAnsi" w:cstheme="minorHAnsi"/>
                <w:color w:val="FF0000"/>
              </w:rPr>
            </w:pPr>
            <w:r w:rsidRPr="00055759">
              <w:rPr>
                <w:rFonts w:asciiTheme="minorHAnsi" w:hAnsiTheme="minorHAnsi" w:cstheme="minorHAnsi"/>
                <w:color w:val="FF0000"/>
              </w:rPr>
              <w:t>to support a conversation between an employee and their line manager about the disability, health condition or requirements around gender reassignment and any workplace adjustments that might need to be made;</w:t>
            </w:r>
          </w:p>
          <w:p w:rsidR="00EF7822" w:rsidRPr="00055759" w:rsidRDefault="00EF7822" w:rsidP="00AE38E6">
            <w:pPr>
              <w:pStyle w:val="text"/>
              <w:numPr>
                <w:ilvl w:val="0"/>
                <w:numId w:val="6"/>
              </w:numPr>
              <w:spacing w:after="0"/>
              <w:ind w:left="709" w:hanging="283"/>
              <w:jc w:val="both"/>
              <w:rPr>
                <w:rFonts w:asciiTheme="minorHAnsi" w:hAnsiTheme="minorHAnsi" w:cstheme="minorHAnsi"/>
                <w:color w:val="FF0000"/>
              </w:rPr>
            </w:pPr>
            <w:r w:rsidRPr="00055759">
              <w:rPr>
                <w:rFonts w:asciiTheme="minorHAnsi" w:hAnsiTheme="minorHAnsi" w:cstheme="minorHAnsi"/>
                <w:color w:val="FF0000"/>
              </w:rPr>
              <w:t>to act as a record of that conversation and of the adjustments agreed;</w:t>
            </w:r>
          </w:p>
          <w:p w:rsidR="00EF7822" w:rsidRPr="00055759" w:rsidRDefault="00EF7822" w:rsidP="00EF7822">
            <w:pPr>
              <w:pStyle w:val="text"/>
              <w:numPr>
                <w:ilvl w:val="0"/>
                <w:numId w:val="6"/>
              </w:numPr>
              <w:spacing w:after="0"/>
              <w:ind w:left="709" w:hanging="283"/>
              <w:jc w:val="both"/>
              <w:rPr>
                <w:color w:val="FF0000"/>
              </w:rPr>
            </w:pPr>
            <w:r w:rsidRPr="00055759">
              <w:rPr>
                <w:rFonts w:asciiTheme="minorHAnsi" w:hAnsiTheme="minorHAnsi" w:cstheme="minorHAnsi"/>
                <w:color w:val="FF0000"/>
              </w:rPr>
              <w:lastRenderedPageBreak/>
              <w:t>to act as a record of any adjustments made for individuals as a temporary supportive measure.</w:t>
            </w:r>
          </w:p>
          <w:p w:rsidR="00714D59" w:rsidRPr="00CC0ADE" w:rsidRDefault="00714D59" w:rsidP="00EF7822">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3. Gender Reassignment</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DC4C4C" w:rsidRPr="00CC0ADE" w:rsidRDefault="00CC6402"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HMPPS</w:t>
            </w:r>
            <w:r w:rsidR="00DC4C4C" w:rsidRPr="00CC0ADE">
              <w:rPr>
                <w:rFonts w:asciiTheme="minorHAnsi" w:hAnsiTheme="minorHAnsi" w:cstheme="minorHAnsi"/>
                <w:sz w:val="22"/>
                <w:szCs w:val="22"/>
              </w:rPr>
              <w:t xml:space="preserve"> does not at present monitor gender reassignment. Current advice and guidance suggests that headcount monitoring in relation to gender reassignment does not provide meaningful data. In essence, asking people to identify their gender history undermines the reason that many have undertaken the arduous process of gender reassignment.</w:t>
            </w:r>
          </w:p>
          <w:p w:rsidR="00714D59" w:rsidRPr="00CC0ADE" w:rsidRDefault="00714D59" w:rsidP="00CC0ADE">
            <w:pPr>
              <w:pStyle w:val="ListNumber"/>
              <w:numPr>
                <w:ilvl w:val="0"/>
                <w:numId w:val="0"/>
              </w:numPr>
              <w:spacing w:after="0"/>
              <w:rPr>
                <w:rFonts w:asciiTheme="minorHAnsi" w:hAnsiTheme="minorHAnsi" w:cstheme="minorHAnsi"/>
                <w:sz w:val="22"/>
                <w:szCs w:val="22"/>
              </w:rPr>
            </w:pPr>
          </w:p>
          <w:p w:rsidR="00DC4C4C" w:rsidRDefault="00A05BA9"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 xml:space="preserve">The </w:t>
            </w:r>
            <w:r w:rsidR="00CC6402" w:rsidRPr="00CC0ADE">
              <w:rPr>
                <w:rFonts w:asciiTheme="minorHAnsi" w:hAnsiTheme="minorHAnsi" w:cstheme="minorHAnsi"/>
                <w:sz w:val="22"/>
                <w:szCs w:val="22"/>
              </w:rPr>
              <w:t>HMPPS</w:t>
            </w:r>
            <w:r w:rsidRPr="00CC0ADE">
              <w:rPr>
                <w:rFonts w:asciiTheme="minorHAnsi" w:hAnsiTheme="minorHAnsi" w:cstheme="minorHAnsi"/>
                <w:sz w:val="22"/>
                <w:szCs w:val="22"/>
              </w:rPr>
              <w:t xml:space="preserve"> </w:t>
            </w:r>
            <w:r w:rsidR="00DC4C4C" w:rsidRPr="00CC0ADE">
              <w:rPr>
                <w:rFonts w:asciiTheme="minorHAnsi" w:hAnsiTheme="minorHAnsi" w:cstheme="minorHAnsi"/>
                <w:sz w:val="22"/>
                <w:szCs w:val="22"/>
              </w:rPr>
              <w:t xml:space="preserve">Special Leave </w:t>
            </w:r>
            <w:r w:rsidRPr="00CC0ADE">
              <w:rPr>
                <w:rFonts w:asciiTheme="minorHAnsi" w:hAnsiTheme="minorHAnsi" w:cstheme="minorHAnsi"/>
                <w:sz w:val="22"/>
                <w:szCs w:val="22"/>
              </w:rPr>
              <w:t>policy</w:t>
            </w:r>
            <w:r w:rsidR="00DC4C4C" w:rsidRPr="00CC0ADE">
              <w:rPr>
                <w:rFonts w:asciiTheme="minorHAnsi" w:hAnsiTheme="minorHAnsi" w:cstheme="minorHAnsi"/>
                <w:sz w:val="22"/>
                <w:szCs w:val="22"/>
              </w:rPr>
              <w:t xml:space="preserve"> and Occupational Health Referral procedures mitigate against any adverse impact which long term illness related to gender reassignment may have. This policy does not change that approach.</w:t>
            </w:r>
            <w:r w:rsidR="00B029FC" w:rsidRPr="00CC0ADE">
              <w:rPr>
                <w:rFonts w:asciiTheme="minorHAnsi" w:hAnsiTheme="minorHAnsi" w:cstheme="minorHAnsi"/>
                <w:sz w:val="22"/>
                <w:szCs w:val="22"/>
              </w:rPr>
              <w:t xml:space="preserve"> We are aware that there can be issues</w:t>
            </w:r>
            <w:r w:rsidR="00136193" w:rsidRPr="00CC0ADE">
              <w:rPr>
                <w:rFonts w:asciiTheme="minorHAnsi" w:hAnsiTheme="minorHAnsi" w:cstheme="minorHAnsi"/>
                <w:sz w:val="22"/>
                <w:szCs w:val="22"/>
              </w:rPr>
              <w:t xml:space="preserve"> with short term absences/leave linked to gender reassignment and we are working with transgender colleagues in HMPPS to produce some additional guidance in this area</w:t>
            </w:r>
            <w:r w:rsidR="00E47B5E">
              <w:rPr>
                <w:rFonts w:asciiTheme="minorHAnsi" w:hAnsiTheme="minorHAnsi" w:cstheme="minorHAnsi"/>
                <w:sz w:val="22"/>
                <w:szCs w:val="22"/>
              </w:rPr>
              <w:t>.</w:t>
            </w:r>
          </w:p>
          <w:p w:rsidR="00CB7699" w:rsidRDefault="00CB7699" w:rsidP="00CC0ADE">
            <w:pPr>
              <w:pStyle w:val="ListNumber"/>
              <w:numPr>
                <w:ilvl w:val="0"/>
                <w:numId w:val="0"/>
              </w:numPr>
              <w:spacing w:after="0"/>
              <w:rPr>
                <w:rFonts w:asciiTheme="minorHAnsi" w:hAnsiTheme="minorHAnsi" w:cstheme="minorHAnsi"/>
                <w:sz w:val="22"/>
                <w:szCs w:val="22"/>
              </w:rPr>
            </w:pPr>
          </w:p>
          <w:p w:rsidR="00CB7699" w:rsidRPr="00CB7699" w:rsidRDefault="00CB7699" w:rsidP="00CC0ADE">
            <w:pPr>
              <w:pStyle w:val="ListNumber"/>
              <w:numPr>
                <w:ilvl w:val="0"/>
                <w:numId w:val="0"/>
              </w:numPr>
              <w:spacing w:after="0"/>
              <w:rPr>
                <w:rFonts w:asciiTheme="minorHAnsi" w:hAnsiTheme="minorHAnsi" w:cstheme="minorHAnsi"/>
                <w:sz w:val="22"/>
                <w:szCs w:val="22"/>
              </w:rPr>
            </w:pPr>
            <w:r w:rsidRPr="00CB7699">
              <w:rPr>
                <w:rFonts w:asciiTheme="minorHAnsi" w:hAnsiTheme="minorHAnsi" w:cstheme="minorHAnsi"/>
                <w:sz w:val="22"/>
                <w:szCs w:val="22"/>
              </w:rPr>
              <w:t>This would need to be reviewed if data became available in the future and any adverse impact was identified.</w:t>
            </w:r>
          </w:p>
          <w:p w:rsidR="00FB48DA" w:rsidRPr="00CC0ADE" w:rsidRDefault="00FB48DA" w:rsidP="00CC0ADE">
            <w:pPr>
              <w:rPr>
                <w:rFonts w:asciiTheme="minorHAnsi" w:hAnsiTheme="minorHAnsi" w:cstheme="minorHAnsi"/>
                <w:sz w:val="22"/>
                <w:szCs w:val="22"/>
              </w:rPr>
            </w:pPr>
          </w:p>
        </w:tc>
      </w:tr>
      <w:tr w:rsidR="00FB48DA" w:rsidRPr="00CC0ADE" w:rsidTr="00714D59">
        <w:trPr>
          <w:cantSplit/>
        </w:trPr>
        <w:tc>
          <w:tcPr>
            <w:tcW w:w="9026" w:type="dxa"/>
            <w:gridSpan w:val="6"/>
            <w:tcBorders>
              <w:bottom w:val="single" w:sz="4" w:space="0" w:color="auto"/>
            </w:tcBorders>
            <w:shd w:val="clear" w:color="auto" w:fill="auto"/>
          </w:tcPr>
          <w:p w:rsidR="003333A5" w:rsidRPr="00CC0ADE" w:rsidRDefault="003333A5" w:rsidP="00CC0ADE">
            <w:pPr>
              <w:keepNext/>
              <w:rPr>
                <w:rFonts w:asciiTheme="minorHAnsi" w:hAnsiTheme="minorHAnsi" w:cstheme="minorHAnsi"/>
                <w:b/>
                <w:sz w:val="22"/>
                <w:szCs w:val="22"/>
              </w:rPr>
            </w:pPr>
          </w:p>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4. Marriage and Civil Partnership</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355F61" w:rsidRPr="00CC0ADE" w:rsidRDefault="00E15852"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Currently there is no specific data available to assess whether the content of this policy will have an equality impact relating to marriage or civil partnerships, and we have no evidence to suggest there will be an adverse impact.</w:t>
            </w:r>
            <w:r w:rsidR="00355F61" w:rsidRPr="00CC0ADE">
              <w:rPr>
                <w:rFonts w:asciiTheme="minorHAnsi" w:hAnsiTheme="minorHAnsi" w:cstheme="minorHAnsi"/>
                <w:sz w:val="22"/>
                <w:szCs w:val="22"/>
              </w:rPr>
              <w:t xml:space="preserve"> </w:t>
            </w:r>
          </w:p>
          <w:p w:rsidR="00355F61" w:rsidRPr="00CC0ADE" w:rsidRDefault="00355F61" w:rsidP="00CC0ADE">
            <w:pPr>
              <w:pStyle w:val="ListNumber"/>
              <w:numPr>
                <w:ilvl w:val="0"/>
                <w:numId w:val="0"/>
              </w:numPr>
              <w:spacing w:after="0"/>
              <w:rPr>
                <w:rFonts w:asciiTheme="minorHAnsi" w:hAnsiTheme="minorHAnsi" w:cstheme="minorHAnsi"/>
                <w:sz w:val="22"/>
                <w:szCs w:val="22"/>
              </w:rPr>
            </w:pPr>
          </w:p>
          <w:p w:rsidR="00FB48DA" w:rsidRPr="00CC0ADE" w:rsidRDefault="00355F61"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 xml:space="preserve">I have met with HMPPS </w:t>
            </w:r>
            <w:r w:rsidR="00B94110" w:rsidRPr="00CC0ADE">
              <w:rPr>
                <w:rFonts w:asciiTheme="minorHAnsi" w:hAnsiTheme="minorHAnsi" w:cstheme="minorHAnsi"/>
                <w:noProof/>
                <w:sz w:val="22"/>
                <w:szCs w:val="22"/>
              </w:rPr>
              <w:t>Equalities, Interventions and Operational Practice Group</w:t>
            </w:r>
            <w:r w:rsidR="00136193" w:rsidRPr="00CC0ADE">
              <w:rPr>
                <w:rFonts w:asciiTheme="minorHAnsi" w:hAnsiTheme="minorHAnsi" w:cstheme="minorHAnsi"/>
                <w:sz w:val="22"/>
                <w:szCs w:val="22"/>
              </w:rPr>
              <w:t xml:space="preserve"> on several occasions</w:t>
            </w:r>
            <w:r w:rsidRPr="00CC0ADE">
              <w:rPr>
                <w:rFonts w:asciiTheme="minorHAnsi" w:hAnsiTheme="minorHAnsi" w:cstheme="minorHAnsi"/>
                <w:sz w:val="22"/>
                <w:szCs w:val="22"/>
              </w:rPr>
              <w:t xml:space="preserve"> to discuss this and there is nothing further we can add.</w:t>
            </w:r>
          </w:p>
          <w:p w:rsidR="00714D59" w:rsidRPr="00CC0ADE" w:rsidRDefault="00714D59" w:rsidP="00CC0ADE">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5. Pregnancy and Maternity</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D52D83"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The policy and procedure will advocate that pregnancy-related sickness absences do not count for attendance management purposes or towards the calculation of reduced sick pay, in order to avoid less favourable treatment for pregnant employees.</w:t>
            </w:r>
            <w:r w:rsidR="003349C0" w:rsidRPr="00CC0ADE">
              <w:rPr>
                <w:rFonts w:asciiTheme="minorHAnsi" w:hAnsiTheme="minorHAnsi" w:cstheme="minorHAnsi"/>
                <w:sz w:val="22"/>
                <w:szCs w:val="22"/>
              </w:rPr>
              <w:t xml:space="preserve"> There is a specific ‘</w:t>
            </w:r>
            <w:hyperlink r:id="rId13" w:history="1">
              <w:r w:rsidR="00B22ABC" w:rsidRPr="00CC0ADE">
                <w:rPr>
                  <w:rStyle w:val="Hyperlink"/>
                  <w:rFonts w:asciiTheme="minorHAnsi" w:hAnsiTheme="minorHAnsi" w:cstheme="minorHAnsi"/>
                  <w:sz w:val="22"/>
                  <w:szCs w:val="22"/>
                </w:rPr>
                <w:t>How to Guide</w:t>
              </w:r>
            </w:hyperlink>
            <w:r w:rsidR="003349C0" w:rsidRPr="00CC0ADE">
              <w:rPr>
                <w:rFonts w:asciiTheme="minorHAnsi" w:hAnsiTheme="minorHAnsi" w:cstheme="minorHAnsi"/>
                <w:sz w:val="22"/>
                <w:szCs w:val="22"/>
              </w:rPr>
              <w:t>’ available on how to manage pregnancy related sickness absence.</w:t>
            </w:r>
          </w:p>
          <w:p w:rsidR="00714D59" w:rsidRPr="00CC0ADE" w:rsidRDefault="00714D59" w:rsidP="00CC0ADE">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EF7822" w:rsidRDefault="00FB48DA" w:rsidP="00CC0ADE">
            <w:pPr>
              <w:keepNext/>
              <w:rPr>
                <w:rFonts w:asciiTheme="minorHAnsi" w:hAnsiTheme="minorHAnsi" w:cstheme="minorHAnsi"/>
                <w:b/>
                <w:sz w:val="22"/>
                <w:szCs w:val="22"/>
                <w:highlight w:val="yellow"/>
              </w:rPr>
            </w:pPr>
            <w:r w:rsidRPr="00D43434">
              <w:rPr>
                <w:rFonts w:asciiTheme="minorHAnsi" w:hAnsiTheme="minorHAnsi" w:cstheme="minorHAnsi"/>
                <w:b/>
                <w:sz w:val="22"/>
                <w:szCs w:val="22"/>
              </w:rPr>
              <w:t>6. Race</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136193" w:rsidRDefault="00D52D83" w:rsidP="00CC0ADE">
            <w:pPr>
              <w:pStyle w:val="ListNumber"/>
              <w:numPr>
                <w:ilvl w:val="0"/>
                <w:numId w:val="0"/>
              </w:numPr>
              <w:spacing w:after="0"/>
              <w:rPr>
                <w:rFonts w:asciiTheme="minorHAnsi" w:hAnsiTheme="minorHAnsi" w:cstheme="minorHAnsi"/>
                <w:sz w:val="22"/>
                <w:szCs w:val="22"/>
              </w:rPr>
            </w:pPr>
            <w:r w:rsidRPr="003A2DA9">
              <w:rPr>
                <w:rFonts w:asciiTheme="minorHAnsi" w:hAnsiTheme="minorHAnsi" w:cstheme="minorHAnsi"/>
                <w:sz w:val="22"/>
                <w:szCs w:val="22"/>
              </w:rPr>
              <w:t>We have no evidence to suggest that race has an impact on absence levels.</w:t>
            </w:r>
            <w:r w:rsidR="003333A5" w:rsidRPr="003A2DA9">
              <w:rPr>
                <w:rFonts w:asciiTheme="minorHAnsi" w:hAnsiTheme="minorHAnsi" w:cstheme="minorHAnsi"/>
                <w:sz w:val="22"/>
                <w:szCs w:val="22"/>
              </w:rPr>
              <w:t xml:space="preserve"> There is evidence that there is elements of ‘unconscious bias’ in some of our HR procedures</w:t>
            </w:r>
            <w:r w:rsidR="001235E2" w:rsidRPr="003A2DA9">
              <w:rPr>
                <w:rFonts w:asciiTheme="minorHAnsi" w:hAnsiTheme="minorHAnsi" w:cstheme="minorHAnsi"/>
                <w:sz w:val="22"/>
                <w:szCs w:val="22"/>
              </w:rPr>
              <w:t>, although not specifically in attendance management procedures</w:t>
            </w:r>
            <w:r w:rsidR="003333A5" w:rsidRPr="003A2DA9">
              <w:rPr>
                <w:rFonts w:asciiTheme="minorHAnsi" w:hAnsiTheme="minorHAnsi" w:cstheme="minorHAnsi"/>
                <w:sz w:val="22"/>
                <w:szCs w:val="22"/>
              </w:rPr>
              <w:t xml:space="preserve">. </w:t>
            </w:r>
            <w:r w:rsidR="00042251" w:rsidRPr="003A2DA9">
              <w:rPr>
                <w:rFonts w:asciiTheme="minorHAnsi" w:hAnsiTheme="minorHAnsi" w:cstheme="minorHAnsi"/>
                <w:sz w:val="22"/>
                <w:szCs w:val="22"/>
              </w:rPr>
              <w:t>An Attendance Management policy is not going to resolve the ‘unconscious bias’ issue, however, there is unconscious bias training available on Civil Service Learning.</w:t>
            </w:r>
            <w:r w:rsidR="00042251">
              <w:rPr>
                <w:rFonts w:asciiTheme="minorHAnsi" w:hAnsiTheme="minorHAnsi" w:cstheme="minorHAnsi"/>
                <w:sz w:val="22"/>
                <w:szCs w:val="22"/>
              </w:rPr>
              <w:t xml:space="preserve"> </w:t>
            </w:r>
            <w:r w:rsidR="00136193" w:rsidRPr="003A2DA9">
              <w:rPr>
                <w:rFonts w:asciiTheme="minorHAnsi" w:hAnsiTheme="minorHAnsi" w:cstheme="minorHAnsi"/>
                <w:sz w:val="22"/>
                <w:szCs w:val="22"/>
              </w:rPr>
              <w:t>I have met with HMPPS Equalities Group on several occasions to discuss this and there is nothing further we can add.</w:t>
            </w:r>
            <w:r w:rsidR="003A2DA9" w:rsidRPr="003A2DA9">
              <w:rPr>
                <w:rFonts w:asciiTheme="minorHAnsi" w:hAnsiTheme="minorHAnsi" w:cstheme="minorHAnsi"/>
                <w:sz w:val="22"/>
                <w:szCs w:val="22"/>
              </w:rPr>
              <w:t xml:space="preserve"> </w:t>
            </w:r>
          </w:p>
          <w:p w:rsidR="00CB7699" w:rsidRDefault="00CB7699" w:rsidP="00CC0ADE">
            <w:pPr>
              <w:pStyle w:val="ListNumber"/>
              <w:numPr>
                <w:ilvl w:val="0"/>
                <w:numId w:val="0"/>
              </w:numPr>
              <w:spacing w:after="0"/>
              <w:rPr>
                <w:rFonts w:asciiTheme="minorHAnsi" w:hAnsiTheme="minorHAnsi" w:cstheme="minorHAnsi"/>
                <w:sz w:val="22"/>
                <w:szCs w:val="22"/>
              </w:rPr>
            </w:pPr>
          </w:p>
          <w:p w:rsidR="00CB7699" w:rsidRPr="00055759" w:rsidRDefault="00CB7699" w:rsidP="00CC0ADE">
            <w:pPr>
              <w:pStyle w:val="ListNumber"/>
              <w:numPr>
                <w:ilvl w:val="0"/>
                <w:numId w:val="0"/>
              </w:numPr>
              <w:spacing w:after="0"/>
              <w:rPr>
                <w:rFonts w:asciiTheme="minorHAnsi" w:hAnsiTheme="minorHAnsi" w:cstheme="minorHAnsi"/>
                <w:color w:val="FF0000"/>
                <w:sz w:val="22"/>
                <w:szCs w:val="22"/>
              </w:rPr>
            </w:pPr>
            <w:bookmarkStart w:id="0" w:name="_GoBack"/>
            <w:r w:rsidRPr="00055759">
              <w:rPr>
                <w:rFonts w:asciiTheme="minorHAnsi" w:hAnsiTheme="minorHAnsi" w:cstheme="minorHAnsi"/>
                <w:color w:val="FF0000"/>
                <w:sz w:val="22"/>
                <w:szCs w:val="22"/>
              </w:rPr>
              <w:t>Once available, sick leave data will be analysed regularly with relevance to all the protected characteristics. Where there is any disproportionality recognised, appropriate action will be reviewed and implemented.</w:t>
            </w:r>
          </w:p>
          <w:bookmarkEnd w:id="0"/>
          <w:p w:rsidR="00714D59" w:rsidRPr="00EF7822" w:rsidRDefault="00714D59" w:rsidP="00CC0ADE">
            <w:pPr>
              <w:rPr>
                <w:rFonts w:asciiTheme="minorHAnsi" w:hAnsiTheme="minorHAnsi" w:cstheme="minorHAnsi"/>
                <w:sz w:val="22"/>
                <w:szCs w:val="22"/>
                <w:highlight w:val="yellow"/>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lastRenderedPageBreak/>
              <w:t>7. Religion or Belief</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3333A5" w:rsidRPr="00CC0ADE" w:rsidRDefault="00D52D83"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Currently there is no specific data available to assess whether the content of this policy will have an equality impact relating to religion or belief, and we have no evidence to suggest there will be an adverse impact.</w:t>
            </w:r>
            <w:r w:rsidR="003333A5" w:rsidRPr="00CC0ADE">
              <w:rPr>
                <w:rFonts w:asciiTheme="minorHAnsi" w:hAnsiTheme="minorHAnsi" w:cstheme="minorHAnsi"/>
                <w:sz w:val="22"/>
                <w:szCs w:val="22"/>
              </w:rPr>
              <w:t xml:space="preserve"> </w:t>
            </w:r>
          </w:p>
          <w:p w:rsidR="003333A5" w:rsidRPr="00CC0ADE" w:rsidRDefault="003333A5" w:rsidP="00CC0ADE">
            <w:pPr>
              <w:pStyle w:val="ListNumber"/>
              <w:numPr>
                <w:ilvl w:val="0"/>
                <w:numId w:val="0"/>
              </w:numPr>
              <w:spacing w:after="0"/>
              <w:rPr>
                <w:rFonts w:asciiTheme="minorHAnsi" w:hAnsiTheme="minorHAnsi" w:cstheme="minorHAnsi"/>
                <w:sz w:val="22"/>
                <w:szCs w:val="22"/>
              </w:rPr>
            </w:pPr>
          </w:p>
          <w:p w:rsidR="00136193" w:rsidRPr="00CC0ADE" w:rsidRDefault="003333A5"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There is evidence that there is elements of ‘unconscious bias’ in some of our HR procedures</w:t>
            </w:r>
            <w:r w:rsidR="001235E2" w:rsidRPr="00CC0ADE">
              <w:rPr>
                <w:rFonts w:asciiTheme="minorHAnsi" w:hAnsiTheme="minorHAnsi" w:cstheme="minorHAnsi"/>
                <w:sz w:val="22"/>
                <w:szCs w:val="22"/>
              </w:rPr>
              <w:t>, although not specifically in attendance management procedures</w:t>
            </w:r>
            <w:r w:rsidRPr="00CC0ADE">
              <w:rPr>
                <w:rFonts w:asciiTheme="minorHAnsi" w:hAnsiTheme="minorHAnsi" w:cstheme="minorHAnsi"/>
                <w:sz w:val="22"/>
                <w:szCs w:val="22"/>
              </w:rPr>
              <w:t xml:space="preserve">. </w:t>
            </w:r>
            <w:r w:rsidR="00042251" w:rsidRPr="003A2DA9">
              <w:rPr>
                <w:rFonts w:asciiTheme="minorHAnsi" w:hAnsiTheme="minorHAnsi" w:cstheme="minorHAnsi"/>
                <w:sz w:val="22"/>
                <w:szCs w:val="22"/>
              </w:rPr>
              <w:t>An Attendance Management policy is not going to resolve the ‘unconscious bias’ issue, however, there is unconscious bias training available on Civil Service Learning.</w:t>
            </w:r>
            <w:r w:rsidR="00042251">
              <w:rPr>
                <w:rFonts w:asciiTheme="minorHAnsi" w:hAnsiTheme="minorHAnsi" w:cstheme="minorHAnsi"/>
                <w:sz w:val="22"/>
                <w:szCs w:val="22"/>
              </w:rPr>
              <w:t xml:space="preserve"> </w:t>
            </w:r>
            <w:r w:rsidR="00136193" w:rsidRPr="00CC0ADE">
              <w:rPr>
                <w:rFonts w:asciiTheme="minorHAnsi" w:hAnsiTheme="minorHAnsi" w:cstheme="minorHAnsi"/>
                <w:sz w:val="22"/>
                <w:szCs w:val="22"/>
              </w:rPr>
              <w:t xml:space="preserve">I have met with HMPPS </w:t>
            </w:r>
            <w:r w:rsidR="00B94110" w:rsidRPr="00CC0ADE">
              <w:rPr>
                <w:rFonts w:asciiTheme="minorHAnsi" w:hAnsiTheme="minorHAnsi" w:cstheme="minorHAnsi"/>
                <w:noProof/>
                <w:sz w:val="22"/>
                <w:szCs w:val="22"/>
              </w:rPr>
              <w:t>Equalities, Interventions and Operational Practice Group</w:t>
            </w:r>
            <w:r w:rsidR="00B94110" w:rsidRPr="00CC0ADE">
              <w:rPr>
                <w:rFonts w:asciiTheme="minorHAnsi" w:hAnsiTheme="minorHAnsi" w:cstheme="minorHAnsi"/>
                <w:sz w:val="22"/>
                <w:szCs w:val="22"/>
              </w:rPr>
              <w:t xml:space="preserve"> </w:t>
            </w:r>
            <w:r w:rsidR="00136193" w:rsidRPr="00CC0ADE">
              <w:rPr>
                <w:rFonts w:asciiTheme="minorHAnsi" w:hAnsiTheme="minorHAnsi" w:cstheme="minorHAnsi"/>
                <w:sz w:val="22"/>
                <w:szCs w:val="22"/>
              </w:rPr>
              <w:t>on several occasions to discuss this and there is nothing further we can add.</w:t>
            </w:r>
          </w:p>
          <w:p w:rsidR="00714D59" w:rsidRPr="00CC0ADE" w:rsidRDefault="00714D59" w:rsidP="00CC0ADE">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D43434">
              <w:rPr>
                <w:rFonts w:asciiTheme="minorHAnsi" w:hAnsiTheme="minorHAnsi" w:cstheme="minorHAnsi"/>
                <w:b/>
                <w:sz w:val="22"/>
                <w:szCs w:val="22"/>
              </w:rPr>
              <w:lastRenderedPageBreak/>
              <w:t>8. Sex</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7F10BB" w:rsidRPr="00D63802" w:rsidRDefault="007F10BB" w:rsidP="00CC0ADE">
            <w:pPr>
              <w:pStyle w:val="ListNumber"/>
              <w:numPr>
                <w:ilvl w:val="0"/>
                <w:numId w:val="0"/>
              </w:numPr>
              <w:spacing w:after="0"/>
              <w:rPr>
                <w:rFonts w:asciiTheme="minorHAnsi" w:hAnsiTheme="minorHAnsi" w:cstheme="minorHAnsi"/>
                <w:sz w:val="22"/>
                <w:szCs w:val="22"/>
              </w:rPr>
            </w:pPr>
            <w:r w:rsidRPr="00D63802">
              <w:rPr>
                <w:rFonts w:asciiTheme="minorHAnsi" w:hAnsiTheme="minorHAnsi" w:cstheme="minorHAnsi"/>
                <w:sz w:val="22"/>
                <w:szCs w:val="22"/>
              </w:rPr>
              <w:t>It is widely reported that women have higher levels of sickness absence than men</w:t>
            </w:r>
            <w:r w:rsidRPr="00D63802">
              <w:rPr>
                <w:rStyle w:val="FootnoteReference"/>
                <w:rFonts w:asciiTheme="minorHAnsi" w:hAnsiTheme="minorHAnsi" w:cstheme="minorHAnsi"/>
                <w:sz w:val="22"/>
                <w:szCs w:val="22"/>
              </w:rPr>
              <w:footnoteReference w:id="1"/>
            </w:r>
            <w:r w:rsidRPr="00D63802">
              <w:rPr>
                <w:rFonts w:asciiTheme="minorHAnsi" w:hAnsiTheme="minorHAnsi" w:cstheme="minorHAnsi"/>
                <w:sz w:val="22"/>
                <w:szCs w:val="22"/>
              </w:rPr>
              <w:t>. Labour market statistics report the absence rate for women in the workplace as 2.6%, compared with 1.6% for men. Cabinet Office data on absence levels in the Civil Service reflect this trend as the Average Working Days Lost (AWDL). Figures at the year ending 30 June 2014, showed that men have 6.4 AWDL per staff year in comparison to women who have 8.1 AWDL.</w:t>
            </w:r>
          </w:p>
          <w:p w:rsidR="00714D59" w:rsidRPr="00D63802" w:rsidRDefault="00714D59" w:rsidP="00CC0ADE">
            <w:pPr>
              <w:pStyle w:val="ListNumber"/>
              <w:numPr>
                <w:ilvl w:val="0"/>
                <w:numId w:val="0"/>
              </w:numPr>
              <w:spacing w:after="0"/>
              <w:rPr>
                <w:rFonts w:asciiTheme="minorHAnsi" w:hAnsiTheme="minorHAnsi" w:cstheme="minorHAnsi"/>
                <w:sz w:val="22"/>
                <w:szCs w:val="22"/>
              </w:rPr>
            </w:pPr>
          </w:p>
          <w:p w:rsidR="00FB48DA" w:rsidRDefault="007F10BB" w:rsidP="00CC0ADE">
            <w:pPr>
              <w:pStyle w:val="ListNumber"/>
              <w:numPr>
                <w:ilvl w:val="0"/>
                <w:numId w:val="0"/>
              </w:numPr>
              <w:spacing w:after="0"/>
              <w:rPr>
                <w:rFonts w:asciiTheme="minorHAnsi" w:hAnsiTheme="minorHAnsi" w:cstheme="minorHAnsi"/>
                <w:sz w:val="22"/>
                <w:szCs w:val="22"/>
              </w:rPr>
            </w:pPr>
            <w:r w:rsidRPr="00D63802">
              <w:rPr>
                <w:rFonts w:asciiTheme="minorHAnsi" w:hAnsiTheme="minorHAnsi" w:cstheme="minorHAnsi"/>
                <w:sz w:val="22"/>
                <w:szCs w:val="22"/>
              </w:rPr>
              <w:t>Whilst the evidence shows a greater incidence of sickness absence amongst women, the Attendance Management policy aims to have a positive impact on reducing the AWDL for both male and female employees.</w:t>
            </w:r>
            <w:r w:rsidR="00EF7822" w:rsidRPr="00D63802">
              <w:rPr>
                <w:rFonts w:asciiTheme="minorHAnsi" w:hAnsiTheme="minorHAnsi" w:cstheme="minorHAnsi"/>
                <w:sz w:val="22"/>
                <w:szCs w:val="22"/>
              </w:rPr>
              <w:t xml:space="preserve"> </w:t>
            </w:r>
            <w:r w:rsidRPr="00D63802">
              <w:rPr>
                <w:rFonts w:asciiTheme="minorHAnsi" w:hAnsiTheme="minorHAnsi" w:cstheme="minorHAnsi"/>
                <w:sz w:val="22"/>
                <w:szCs w:val="22"/>
              </w:rPr>
              <w:t xml:space="preserve">The policy will ensure that sickness absence is managed fairly and consistently and </w:t>
            </w:r>
            <w:r w:rsidR="008961C5" w:rsidRPr="00D63802">
              <w:rPr>
                <w:rFonts w:asciiTheme="minorHAnsi" w:hAnsiTheme="minorHAnsi" w:cstheme="minorHAnsi"/>
                <w:sz w:val="22"/>
                <w:szCs w:val="22"/>
              </w:rPr>
              <w:t xml:space="preserve">taking account of particular characteristics and </w:t>
            </w:r>
            <w:r w:rsidR="002A0E44" w:rsidRPr="00D63802">
              <w:rPr>
                <w:rFonts w:asciiTheme="minorHAnsi" w:hAnsiTheme="minorHAnsi" w:cstheme="minorHAnsi"/>
                <w:sz w:val="22"/>
                <w:szCs w:val="22"/>
              </w:rPr>
              <w:t>adjustments</w:t>
            </w:r>
            <w:r w:rsidR="001235E2" w:rsidRPr="00D63802">
              <w:rPr>
                <w:rFonts w:asciiTheme="minorHAnsi" w:hAnsiTheme="minorHAnsi" w:cstheme="minorHAnsi"/>
                <w:sz w:val="22"/>
                <w:szCs w:val="22"/>
              </w:rPr>
              <w:t xml:space="preserve">, </w:t>
            </w:r>
            <w:r w:rsidRPr="00D63802">
              <w:rPr>
                <w:rFonts w:asciiTheme="minorHAnsi" w:hAnsiTheme="minorHAnsi" w:cstheme="minorHAnsi"/>
                <w:sz w:val="22"/>
                <w:szCs w:val="22"/>
              </w:rPr>
              <w:t>support employees back to work</w:t>
            </w:r>
            <w:r w:rsidR="001235E2" w:rsidRPr="00D63802">
              <w:rPr>
                <w:rFonts w:asciiTheme="minorHAnsi" w:hAnsiTheme="minorHAnsi" w:cstheme="minorHAnsi"/>
                <w:sz w:val="22"/>
                <w:szCs w:val="22"/>
              </w:rPr>
              <w:t xml:space="preserve"> and taking account of particular circumstances as appropriate.</w:t>
            </w:r>
          </w:p>
          <w:p w:rsidR="00042251" w:rsidRDefault="00042251" w:rsidP="00CC0ADE">
            <w:pPr>
              <w:pStyle w:val="ListNumber"/>
              <w:numPr>
                <w:ilvl w:val="0"/>
                <w:numId w:val="0"/>
              </w:numPr>
              <w:spacing w:after="0"/>
              <w:rPr>
                <w:rFonts w:asciiTheme="minorHAnsi" w:hAnsiTheme="minorHAnsi" w:cstheme="minorHAnsi"/>
                <w:sz w:val="22"/>
                <w:szCs w:val="22"/>
              </w:rPr>
            </w:pPr>
          </w:p>
          <w:p w:rsidR="00042251" w:rsidRPr="003125A8" w:rsidRDefault="00042251" w:rsidP="00042251">
            <w:pPr>
              <w:jc w:val="both"/>
              <w:rPr>
                <w:rFonts w:asciiTheme="minorHAnsi" w:hAnsiTheme="minorHAnsi" w:cstheme="minorHAnsi"/>
                <w:sz w:val="22"/>
                <w:lang w:val="en"/>
              </w:rPr>
            </w:pPr>
            <w:r>
              <w:rPr>
                <w:rFonts w:asciiTheme="minorHAnsi" w:hAnsiTheme="minorHAnsi" w:cstheme="minorHAnsi"/>
                <w:sz w:val="22"/>
                <w:szCs w:val="22"/>
              </w:rPr>
              <w:t>This</w:t>
            </w:r>
            <w:r w:rsidRPr="003125A8">
              <w:rPr>
                <w:rFonts w:asciiTheme="minorHAnsi" w:hAnsiTheme="minorHAnsi" w:cstheme="minorHAnsi"/>
                <w:sz w:val="22"/>
                <w:szCs w:val="22"/>
              </w:rPr>
              <w:t xml:space="preserve"> </w:t>
            </w:r>
            <w:r>
              <w:rPr>
                <w:rFonts w:asciiTheme="minorHAnsi" w:hAnsiTheme="minorHAnsi" w:cstheme="minorHAnsi"/>
                <w:sz w:val="22"/>
                <w:szCs w:val="22"/>
              </w:rPr>
              <w:t>p</w:t>
            </w:r>
            <w:r w:rsidRPr="003125A8">
              <w:rPr>
                <w:rFonts w:asciiTheme="minorHAnsi" w:hAnsiTheme="minorHAnsi" w:cstheme="minorHAnsi"/>
                <w:sz w:val="22"/>
                <w:szCs w:val="22"/>
              </w:rPr>
              <w:t xml:space="preserve">olicy allows line managers to mitigate against this by </w:t>
            </w:r>
            <w:r w:rsidRPr="003125A8">
              <w:rPr>
                <w:rFonts w:asciiTheme="minorHAnsi" w:hAnsiTheme="minorHAnsi" w:cstheme="minorHAnsi"/>
                <w:sz w:val="22"/>
              </w:rPr>
              <w:t xml:space="preserve">using their discretion to decide not to issue a warning when an </w:t>
            </w:r>
            <w:r w:rsidRPr="003125A8">
              <w:rPr>
                <w:rFonts w:asciiTheme="minorHAnsi" w:hAnsiTheme="minorHAnsi" w:cstheme="minorHAnsi"/>
                <w:sz w:val="22"/>
                <w:lang w:val="en"/>
              </w:rPr>
              <w:t>employee reaches or exceeds their trigger point. Line managers</w:t>
            </w:r>
            <w:r w:rsidRPr="003125A8">
              <w:rPr>
                <w:rFonts w:asciiTheme="minorHAnsi" w:hAnsiTheme="minorHAnsi" w:cstheme="minorHAnsi"/>
                <w:sz w:val="22"/>
              </w:rPr>
              <w:t xml:space="preserve"> should consider the circumstances of the absence and the employee’s absence history. </w:t>
            </w:r>
            <w:r w:rsidRPr="003125A8">
              <w:rPr>
                <w:rFonts w:asciiTheme="minorHAnsi" w:hAnsiTheme="minorHAnsi" w:cstheme="minorHAnsi"/>
                <w:sz w:val="22"/>
                <w:lang w:val="en"/>
              </w:rPr>
              <w:t>In applying discretion over whether or not to issue a warning, line managers should consider the employee’s overall attendance record. A line manager may decide not to give a Written Improvement Warning following a sickness absence which is uncharacteristic for an employee who has a positive work-focused approach and whose sickness absence record is otherwise satisfactory. Occupational Health advice may help line managers to determine whether the employee is likely to be able to meet the attendance standard expected of them in future.</w:t>
            </w:r>
            <w:r>
              <w:rPr>
                <w:rFonts w:asciiTheme="minorHAnsi" w:hAnsiTheme="minorHAnsi" w:cstheme="minorHAnsi"/>
                <w:sz w:val="22"/>
                <w:lang w:val="en"/>
              </w:rPr>
              <w:t xml:space="preserve"> </w:t>
            </w:r>
            <w:r w:rsidRPr="00042251">
              <w:rPr>
                <w:rFonts w:asciiTheme="minorHAnsi" w:hAnsiTheme="minorHAnsi" w:cstheme="minorHAnsi"/>
                <w:sz w:val="22"/>
                <w:szCs w:val="22"/>
              </w:rPr>
              <w:t>In dealing with individual cases, line managers are able to exercise discretion, and they need to look at individual circumstances once a trigger point has been reached and to tailor their action accordingly.</w:t>
            </w:r>
            <w:r>
              <w:t xml:space="preserve"> </w:t>
            </w:r>
            <w:r w:rsidRPr="003125A8">
              <w:rPr>
                <w:rFonts w:asciiTheme="minorHAnsi" w:hAnsiTheme="minorHAnsi" w:cstheme="minorHAnsi"/>
                <w:sz w:val="22"/>
                <w:szCs w:val="22"/>
              </w:rPr>
              <w:t xml:space="preserve">Further information on using discretion is available on </w:t>
            </w:r>
            <w:hyperlink r:id="rId14" w:history="1">
              <w:r w:rsidRPr="003125A8">
                <w:rPr>
                  <w:rStyle w:val="Hyperlink"/>
                  <w:rFonts w:asciiTheme="minorHAnsi" w:hAnsiTheme="minorHAnsi" w:cstheme="minorHAnsi"/>
                  <w:sz w:val="22"/>
                  <w:szCs w:val="22"/>
                </w:rPr>
                <w:t>My Services</w:t>
              </w:r>
            </w:hyperlink>
            <w:r w:rsidRPr="003125A8">
              <w:rPr>
                <w:rStyle w:val="Hyperlink"/>
                <w:rFonts w:asciiTheme="minorHAnsi" w:hAnsiTheme="minorHAnsi" w:cstheme="minorHAnsi"/>
                <w:color w:val="auto"/>
                <w:sz w:val="22"/>
                <w:szCs w:val="22"/>
                <w:u w:val="none"/>
              </w:rPr>
              <w:t>.</w:t>
            </w:r>
          </w:p>
          <w:p w:rsidR="00D63802" w:rsidRDefault="00D63802" w:rsidP="00CC0ADE">
            <w:pPr>
              <w:pStyle w:val="ListNumber"/>
              <w:numPr>
                <w:ilvl w:val="0"/>
                <w:numId w:val="0"/>
              </w:numPr>
              <w:spacing w:after="0"/>
              <w:rPr>
                <w:rFonts w:asciiTheme="minorHAnsi" w:hAnsiTheme="minorHAnsi" w:cstheme="minorHAnsi"/>
                <w:sz w:val="22"/>
                <w:szCs w:val="22"/>
              </w:rPr>
            </w:pPr>
          </w:p>
          <w:p w:rsidR="00D63802" w:rsidRDefault="00D63802" w:rsidP="00CC0ADE">
            <w:pPr>
              <w:pStyle w:val="ListNumber"/>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We know that female employees are more likely to take sick absence to cover childcare responsibilities, especially if they are single mothers. Female employees are also more likely to report stress related health complaints, often due to outside pressures, such as childcare responsibilities. There are a number of supporting tools and guides available to staff on the </w:t>
            </w:r>
            <w:hyperlink r:id="rId15" w:history="1">
              <w:r>
                <w:rPr>
                  <w:rStyle w:val="Hyperlink"/>
                  <w:rFonts w:asciiTheme="minorHAnsi" w:hAnsiTheme="minorHAnsi" w:cstheme="minorHAnsi"/>
                  <w:sz w:val="22"/>
                  <w:szCs w:val="22"/>
                </w:rPr>
                <w:t>Attendance &amp; Wellbeing</w:t>
              </w:r>
            </w:hyperlink>
            <w:r>
              <w:rPr>
                <w:rFonts w:asciiTheme="minorHAnsi" w:hAnsiTheme="minorHAnsi" w:cstheme="minorHAnsi"/>
                <w:sz w:val="22"/>
                <w:szCs w:val="22"/>
              </w:rPr>
              <w:t xml:space="preserve"> intranet page (under the Health &amp; Safety and Occupational Health links). In addition to this there is a How to Guide on “supporting employees experiencing stress at work” and one on “supporting staff with caring responsibilities”</w:t>
            </w:r>
          </w:p>
          <w:p w:rsidR="00541227" w:rsidRDefault="00541227" w:rsidP="00CC0ADE">
            <w:pPr>
              <w:pStyle w:val="ListNumber"/>
              <w:numPr>
                <w:ilvl w:val="0"/>
                <w:numId w:val="0"/>
              </w:numPr>
              <w:spacing w:after="0"/>
              <w:rPr>
                <w:rFonts w:asciiTheme="minorHAnsi" w:hAnsiTheme="minorHAnsi" w:cstheme="minorHAnsi"/>
                <w:sz w:val="22"/>
                <w:szCs w:val="22"/>
              </w:rPr>
            </w:pPr>
          </w:p>
          <w:p w:rsidR="00541227" w:rsidRPr="00485659" w:rsidRDefault="00541227" w:rsidP="00541227">
            <w:pPr>
              <w:pStyle w:val="Default"/>
              <w:rPr>
                <w:rFonts w:asciiTheme="minorHAnsi" w:hAnsiTheme="minorHAnsi" w:cstheme="minorHAnsi"/>
              </w:rPr>
            </w:pPr>
            <w:r>
              <w:rPr>
                <w:rFonts w:asciiTheme="minorHAnsi" w:hAnsiTheme="minorHAnsi" w:cstheme="minorHAnsi"/>
                <w:sz w:val="22"/>
                <w:szCs w:val="22"/>
              </w:rPr>
              <w:t xml:space="preserve">HMPPS is also currently looking into </w:t>
            </w:r>
            <w:r w:rsidRPr="00CC0ADE">
              <w:rPr>
                <w:rFonts w:asciiTheme="minorHAnsi" w:hAnsiTheme="minorHAnsi" w:cstheme="minorHAnsi"/>
                <w:sz w:val="22"/>
                <w:szCs w:val="22"/>
              </w:rPr>
              <w:t>produc</w:t>
            </w:r>
            <w:r>
              <w:rPr>
                <w:rFonts w:asciiTheme="minorHAnsi" w:hAnsiTheme="minorHAnsi" w:cstheme="minorHAnsi"/>
                <w:sz w:val="22"/>
                <w:szCs w:val="22"/>
              </w:rPr>
              <w:t>ing</w:t>
            </w:r>
            <w:r w:rsidRPr="00CC0ADE">
              <w:rPr>
                <w:rFonts w:asciiTheme="minorHAnsi" w:hAnsiTheme="minorHAnsi" w:cstheme="minorHAnsi"/>
                <w:sz w:val="22"/>
                <w:szCs w:val="22"/>
              </w:rPr>
              <w:t xml:space="preserve"> some additional guidance in </w:t>
            </w:r>
            <w:r>
              <w:rPr>
                <w:rFonts w:asciiTheme="minorHAnsi" w:hAnsiTheme="minorHAnsi" w:cstheme="minorHAnsi"/>
                <w:sz w:val="22"/>
                <w:szCs w:val="22"/>
              </w:rPr>
              <w:t xml:space="preserve">relation to menopause, which will </w:t>
            </w:r>
            <w:r>
              <w:rPr>
                <w:rFonts w:asciiTheme="minorHAnsi" w:hAnsiTheme="minorHAnsi" w:cstheme="minorHAnsi"/>
              </w:rPr>
              <w:t>e</w:t>
            </w:r>
            <w:r w:rsidRPr="00485659">
              <w:rPr>
                <w:rFonts w:asciiTheme="minorHAnsi" w:hAnsiTheme="minorHAnsi" w:cstheme="minorHAnsi"/>
              </w:rPr>
              <w:t>nsure that women suffering with menopause symptoms feel confident to discuss it, and ask for support and any reasonable adjustments so they can continue to be successful in their roles</w:t>
            </w:r>
            <w:r>
              <w:rPr>
                <w:rFonts w:asciiTheme="minorHAnsi" w:hAnsiTheme="minorHAnsi" w:cstheme="minorHAnsi"/>
              </w:rPr>
              <w:t xml:space="preserve"> and r</w:t>
            </w:r>
            <w:r w:rsidRPr="00485659">
              <w:rPr>
                <w:rFonts w:asciiTheme="minorHAnsi" w:hAnsiTheme="minorHAnsi" w:cstheme="minorHAnsi"/>
              </w:rPr>
              <w:t xml:space="preserve">educe absenteeism due to menopausal symptoms. </w:t>
            </w:r>
          </w:p>
          <w:p w:rsidR="00714D59" w:rsidRPr="00CC0ADE" w:rsidRDefault="00714D59" w:rsidP="00CC0ADE">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bottom w:val="single" w:sz="4" w:space="0" w:color="auto"/>
            </w:tcBorders>
            <w:shd w:val="clear" w:color="auto" w:fill="auto"/>
          </w:tcPr>
          <w:p w:rsidR="00714D59" w:rsidRPr="00CC0ADE" w:rsidRDefault="00714D59" w:rsidP="00CC0ADE">
            <w:pPr>
              <w:keepNext/>
              <w:rPr>
                <w:rFonts w:asciiTheme="minorHAnsi" w:hAnsiTheme="minorHAnsi" w:cstheme="minorHAnsi"/>
                <w:b/>
                <w:sz w:val="22"/>
                <w:szCs w:val="22"/>
              </w:rPr>
            </w:pPr>
          </w:p>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9. Sexual Orientation</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FB48DA" w:rsidRPr="00CC0ADE" w:rsidRDefault="00D52D83"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Currently there is no specific data available to assess whether the content of this policy will have an equality impact relating to sexual orientation, and we have no evidence to suggest there will be an adverse impact.</w:t>
            </w:r>
          </w:p>
          <w:p w:rsidR="003333A5" w:rsidRPr="00CC0ADE" w:rsidRDefault="003333A5" w:rsidP="00CC0ADE">
            <w:pPr>
              <w:pStyle w:val="ListNumber"/>
              <w:numPr>
                <w:ilvl w:val="0"/>
                <w:numId w:val="0"/>
              </w:numPr>
              <w:spacing w:after="0"/>
              <w:rPr>
                <w:rFonts w:asciiTheme="minorHAnsi" w:hAnsiTheme="minorHAnsi" w:cstheme="minorHAnsi"/>
                <w:sz w:val="22"/>
                <w:szCs w:val="22"/>
              </w:rPr>
            </w:pPr>
          </w:p>
          <w:p w:rsidR="00136193" w:rsidRPr="00CC0ADE" w:rsidRDefault="003333A5" w:rsidP="00CC0ADE">
            <w:pPr>
              <w:pStyle w:val="ListNumber"/>
              <w:numPr>
                <w:ilvl w:val="0"/>
                <w:numId w:val="0"/>
              </w:numPr>
              <w:spacing w:after="0"/>
              <w:rPr>
                <w:rFonts w:asciiTheme="minorHAnsi" w:hAnsiTheme="minorHAnsi" w:cstheme="minorHAnsi"/>
                <w:sz w:val="22"/>
                <w:szCs w:val="22"/>
              </w:rPr>
            </w:pPr>
            <w:r w:rsidRPr="00CC0ADE">
              <w:rPr>
                <w:rFonts w:asciiTheme="minorHAnsi" w:hAnsiTheme="minorHAnsi" w:cstheme="minorHAnsi"/>
                <w:sz w:val="22"/>
                <w:szCs w:val="22"/>
              </w:rPr>
              <w:t xml:space="preserve">There is evidence that there </w:t>
            </w:r>
            <w:r w:rsidR="008961C5" w:rsidRPr="00CC0ADE">
              <w:rPr>
                <w:rFonts w:asciiTheme="minorHAnsi" w:hAnsiTheme="minorHAnsi" w:cstheme="minorHAnsi"/>
                <w:sz w:val="22"/>
                <w:szCs w:val="22"/>
              </w:rPr>
              <w:t xml:space="preserve">are </w:t>
            </w:r>
            <w:r w:rsidRPr="00CC0ADE">
              <w:rPr>
                <w:rFonts w:asciiTheme="minorHAnsi" w:hAnsiTheme="minorHAnsi" w:cstheme="minorHAnsi"/>
                <w:sz w:val="22"/>
                <w:szCs w:val="22"/>
              </w:rPr>
              <w:t>elements of ‘unconscious bias’ in some of our HR procedures</w:t>
            </w:r>
            <w:r w:rsidR="001235E2" w:rsidRPr="00CC0ADE">
              <w:rPr>
                <w:rFonts w:asciiTheme="minorHAnsi" w:hAnsiTheme="minorHAnsi" w:cstheme="minorHAnsi"/>
                <w:sz w:val="22"/>
                <w:szCs w:val="22"/>
              </w:rPr>
              <w:t>, although not specifically in attendance management procedures.</w:t>
            </w:r>
            <w:r w:rsidRPr="00CC0ADE">
              <w:rPr>
                <w:rFonts w:asciiTheme="minorHAnsi" w:hAnsiTheme="minorHAnsi" w:cstheme="minorHAnsi"/>
                <w:sz w:val="22"/>
                <w:szCs w:val="22"/>
              </w:rPr>
              <w:t xml:space="preserve"> </w:t>
            </w:r>
            <w:r w:rsidR="00042251" w:rsidRPr="003A2DA9">
              <w:rPr>
                <w:rFonts w:asciiTheme="minorHAnsi" w:hAnsiTheme="minorHAnsi" w:cstheme="minorHAnsi"/>
                <w:sz w:val="22"/>
                <w:szCs w:val="22"/>
              </w:rPr>
              <w:t>An Attendance Management policy is not going to resolve the ‘unconscious bias’ issue, however, there is unconscious bias training available on Civil Service Learning.</w:t>
            </w:r>
            <w:r w:rsidR="00042251">
              <w:rPr>
                <w:rFonts w:asciiTheme="minorHAnsi" w:hAnsiTheme="minorHAnsi" w:cstheme="minorHAnsi"/>
                <w:sz w:val="22"/>
                <w:szCs w:val="22"/>
              </w:rPr>
              <w:t xml:space="preserve"> </w:t>
            </w:r>
            <w:r w:rsidR="00136193" w:rsidRPr="00CC0ADE">
              <w:rPr>
                <w:rFonts w:asciiTheme="minorHAnsi" w:hAnsiTheme="minorHAnsi" w:cstheme="minorHAnsi"/>
                <w:sz w:val="22"/>
                <w:szCs w:val="22"/>
              </w:rPr>
              <w:t xml:space="preserve">I have met with HMPPS </w:t>
            </w:r>
            <w:r w:rsidR="00B94110" w:rsidRPr="00CC0ADE">
              <w:rPr>
                <w:rFonts w:asciiTheme="minorHAnsi" w:hAnsiTheme="minorHAnsi" w:cstheme="minorHAnsi"/>
                <w:noProof/>
                <w:sz w:val="22"/>
                <w:szCs w:val="22"/>
              </w:rPr>
              <w:t>Equalities, Interventions and Operational Practice Group</w:t>
            </w:r>
            <w:r w:rsidR="00136193" w:rsidRPr="00CC0ADE">
              <w:rPr>
                <w:rFonts w:asciiTheme="minorHAnsi" w:hAnsiTheme="minorHAnsi" w:cstheme="minorHAnsi"/>
                <w:sz w:val="22"/>
                <w:szCs w:val="22"/>
              </w:rPr>
              <w:t xml:space="preserve"> on several occasions to discuss this and there is nothing further we can add.</w:t>
            </w:r>
          </w:p>
          <w:p w:rsidR="00714D59" w:rsidRPr="00CC0ADE" w:rsidRDefault="00714D59" w:rsidP="00CC0ADE">
            <w:pPr>
              <w:pStyle w:val="ListNumber"/>
              <w:numPr>
                <w:ilvl w:val="0"/>
                <w:numId w:val="0"/>
              </w:numPr>
              <w:spacing w:after="0"/>
              <w:rPr>
                <w:rFonts w:asciiTheme="minorHAnsi" w:hAnsiTheme="minorHAnsi" w:cstheme="minorHAnsi"/>
                <w:sz w:val="22"/>
                <w:szCs w:val="22"/>
              </w:rPr>
            </w:pPr>
          </w:p>
        </w:tc>
      </w:tr>
      <w:tr w:rsidR="00FB48DA" w:rsidRPr="00CC0ADE" w:rsidTr="00714D59">
        <w:trPr>
          <w:cantSplit/>
        </w:trPr>
        <w:tc>
          <w:tcPr>
            <w:tcW w:w="9026" w:type="dxa"/>
            <w:gridSpan w:val="6"/>
            <w:tcBorders>
              <w:top w:val="single" w:sz="4" w:space="0" w:color="auto"/>
            </w:tcBorders>
            <w:shd w:val="clear" w:color="auto" w:fill="auto"/>
          </w:tcPr>
          <w:p w:rsidR="00FB48DA" w:rsidRPr="00CC0ADE" w:rsidRDefault="00FB48DA" w:rsidP="00CC0ADE">
            <w:pPr>
              <w:pStyle w:val="Spacer"/>
              <w:rPr>
                <w:rFonts w:asciiTheme="minorHAnsi" w:hAnsiTheme="minorHAnsi" w:cstheme="minorHAnsi"/>
                <w:sz w:val="22"/>
              </w:rPr>
            </w:pPr>
          </w:p>
        </w:tc>
      </w:tr>
      <w:tr w:rsidR="00FB48DA" w:rsidRPr="00CC0ADE" w:rsidTr="00714D59">
        <w:trPr>
          <w:cantSplit/>
        </w:trPr>
        <w:tc>
          <w:tcPr>
            <w:tcW w:w="9026" w:type="dxa"/>
            <w:gridSpan w:val="6"/>
            <w:tcBorders>
              <w:bottom w:val="single" w:sz="4" w:space="0" w:color="auto"/>
            </w:tcBorders>
            <w:shd w:val="clear" w:color="auto" w:fill="auto"/>
          </w:tcPr>
          <w:p w:rsidR="00FB48DA" w:rsidRPr="00CC0ADE" w:rsidRDefault="00FB48DA" w:rsidP="00CC0ADE">
            <w:pPr>
              <w:keepNext/>
              <w:rPr>
                <w:rFonts w:asciiTheme="minorHAnsi" w:hAnsiTheme="minorHAnsi" w:cstheme="minorHAnsi"/>
                <w:b/>
                <w:sz w:val="22"/>
                <w:szCs w:val="22"/>
              </w:rPr>
            </w:pPr>
            <w:r w:rsidRPr="00CC0ADE">
              <w:rPr>
                <w:rFonts w:asciiTheme="minorHAnsi" w:hAnsiTheme="minorHAnsi" w:cstheme="minorHAnsi"/>
                <w:b/>
                <w:sz w:val="22"/>
                <w:szCs w:val="22"/>
              </w:rPr>
              <w:t xml:space="preserve">How have you considered the Welsh Language Act 2010 in relation to the product and in accordance with the </w:t>
            </w:r>
            <w:r w:rsidR="007C55F1" w:rsidRPr="00CC0ADE">
              <w:rPr>
                <w:rFonts w:asciiTheme="minorHAnsi" w:hAnsiTheme="minorHAnsi" w:cstheme="minorHAnsi"/>
                <w:b/>
                <w:sz w:val="22"/>
                <w:szCs w:val="22"/>
              </w:rPr>
              <w:t>HMPPS</w:t>
            </w:r>
            <w:r w:rsidRPr="00CC0ADE">
              <w:rPr>
                <w:rFonts w:asciiTheme="minorHAnsi" w:hAnsiTheme="minorHAnsi" w:cstheme="minorHAnsi"/>
                <w:b/>
                <w:sz w:val="22"/>
                <w:szCs w:val="22"/>
              </w:rPr>
              <w:t xml:space="preserve"> Welsh Language Scheme?</w:t>
            </w:r>
            <w:r w:rsidR="00A05BA9" w:rsidRPr="00CC0ADE">
              <w:rPr>
                <w:rFonts w:asciiTheme="minorHAnsi" w:hAnsiTheme="minorHAnsi" w:cstheme="minorHAnsi"/>
                <w:b/>
                <w:sz w:val="22"/>
                <w:szCs w:val="22"/>
              </w:rPr>
              <w:t xml:space="preserve"> </w:t>
            </w:r>
          </w:p>
        </w:tc>
      </w:tr>
      <w:tr w:rsidR="00FB48DA" w:rsidRPr="00CC0ADE" w:rsidTr="00714D59">
        <w:trPr>
          <w:cantSplit/>
        </w:trPr>
        <w:tc>
          <w:tcPr>
            <w:tcW w:w="9026" w:type="dxa"/>
            <w:gridSpan w:val="6"/>
            <w:tcBorders>
              <w:top w:val="single" w:sz="4" w:space="0" w:color="auto"/>
              <w:left w:val="single" w:sz="4" w:space="0" w:color="auto"/>
              <w:bottom w:val="single" w:sz="4" w:space="0" w:color="auto"/>
              <w:right w:val="single" w:sz="4" w:space="0" w:color="auto"/>
            </w:tcBorders>
            <w:shd w:val="clear" w:color="auto" w:fill="auto"/>
          </w:tcPr>
          <w:p w:rsidR="003333A5" w:rsidRPr="00CC0ADE" w:rsidRDefault="00355F61" w:rsidP="00CC0ADE">
            <w:pPr>
              <w:pStyle w:val="CommentText"/>
              <w:rPr>
                <w:rFonts w:asciiTheme="minorHAnsi" w:hAnsiTheme="minorHAnsi" w:cstheme="minorHAnsi"/>
                <w:sz w:val="22"/>
                <w:szCs w:val="22"/>
              </w:rPr>
            </w:pPr>
            <w:r w:rsidRPr="00CC0ADE">
              <w:rPr>
                <w:rFonts w:asciiTheme="minorHAnsi" w:hAnsiTheme="minorHAnsi" w:cstheme="minorHAnsi"/>
                <w:sz w:val="22"/>
                <w:szCs w:val="22"/>
              </w:rPr>
              <w:t xml:space="preserve">This policy may be translated into Welsh if required. </w:t>
            </w:r>
            <w:r w:rsidR="003333A5" w:rsidRPr="00CC0ADE">
              <w:rPr>
                <w:rFonts w:asciiTheme="minorHAnsi" w:hAnsiTheme="minorHAnsi" w:cstheme="minorHAnsi"/>
                <w:sz w:val="22"/>
                <w:szCs w:val="22"/>
              </w:rPr>
              <w:t xml:space="preserve">If a translation is requested and provided, the Welsh version will be published on the </w:t>
            </w:r>
            <w:r w:rsidR="00CC6402" w:rsidRPr="00CC0ADE">
              <w:rPr>
                <w:rFonts w:asciiTheme="minorHAnsi" w:hAnsiTheme="minorHAnsi" w:cstheme="minorHAnsi"/>
                <w:sz w:val="22"/>
                <w:szCs w:val="22"/>
              </w:rPr>
              <w:t>HMPPS</w:t>
            </w:r>
            <w:r w:rsidR="003333A5" w:rsidRPr="00CC0ADE">
              <w:rPr>
                <w:rFonts w:asciiTheme="minorHAnsi" w:hAnsiTheme="minorHAnsi" w:cstheme="minorHAnsi"/>
                <w:sz w:val="22"/>
                <w:szCs w:val="22"/>
              </w:rPr>
              <w:t xml:space="preserve"> intranet alongside the English version in order to avoid duplication.</w:t>
            </w:r>
          </w:p>
          <w:p w:rsidR="00714D59" w:rsidRPr="00CC0ADE" w:rsidRDefault="00714D59" w:rsidP="00CC0ADE">
            <w:pPr>
              <w:rPr>
                <w:rFonts w:asciiTheme="minorHAnsi" w:hAnsiTheme="minorHAnsi" w:cstheme="minorHAnsi"/>
                <w:sz w:val="22"/>
                <w:szCs w:val="22"/>
              </w:rPr>
            </w:pPr>
          </w:p>
        </w:tc>
      </w:tr>
    </w:tbl>
    <w:p w:rsidR="00EB0687" w:rsidRPr="00CC0ADE" w:rsidRDefault="00EB0687" w:rsidP="00CC0ADE">
      <w:pPr>
        <w:rPr>
          <w:rFonts w:asciiTheme="minorHAnsi" w:hAnsiTheme="minorHAnsi" w:cstheme="minorHAnsi"/>
          <w:sz w:val="22"/>
          <w:szCs w:val="22"/>
        </w:rPr>
      </w:pPr>
    </w:p>
    <w:sectPr w:rsidR="00EB0687" w:rsidRPr="00CC0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DA" w:rsidRDefault="00FB48DA" w:rsidP="00FB48DA">
      <w:r>
        <w:separator/>
      </w:r>
    </w:p>
  </w:endnote>
  <w:endnote w:type="continuationSeparator" w:id="0">
    <w:p w:rsidR="00FB48DA" w:rsidRDefault="00FB48DA" w:rsidP="00FB4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DA" w:rsidRDefault="00FB48DA" w:rsidP="00FB48DA">
      <w:r>
        <w:separator/>
      </w:r>
    </w:p>
  </w:footnote>
  <w:footnote w:type="continuationSeparator" w:id="0">
    <w:p w:rsidR="00FB48DA" w:rsidRDefault="00FB48DA" w:rsidP="00FB48DA">
      <w:r>
        <w:continuationSeparator/>
      </w:r>
    </w:p>
  </w:footnote>
  <w:footnote w:id="1">
    <w:p w:rsidR="007F10BB" w:rsidRDefault="007F10BB" w:rsidP="007F10BB">
      <w:pPr>
        <w:pStyle w:val="FootnoteText"/>
      </w:pPr>
    </w:p>
    <w:p w:rsidR="007F10BB" w:rsidRDefault="007F10BB" w:rsidP="007F10BB">
      <w:pPr>
        <w:pStyle w:val="FootnoteText"/>
      </w:pPr>
      <w:r>
        <w:rPr>
          <w:rStyle w:val="FootnoteReference"/>
        </w:rPr>
        <w:footnoteRef/>
      </w:r>
      <w:r>
        <w:t xml:space="preserve"> </w:t>
      </w:r>
      <w:r w:rsidRPr="00FA53D4">
        <w:t xml:space="preserve">ONS report on sickness absence in the labour market </w:t>
      </w:r>
      <w:r>
        <w:t xml:space="preserve">February 2014 </w:t>
      </w:r>
      <w:hyperlink r:id="rId1" w:history="1">
        <w:r w:rsidRPr="00D238E2">
          <w:rPr>
            <w:rStyle w:val="Hyperlink"/>
          </w:rPr>
          <w:t>http://www.ons.gov.uk/ons/rel/lmac/sickness-absence-in-the-labour-market/2014/rpt---sickness-absence-in-the-labour-market.html</w:t>
        </w:r>
      </w:hyperlink>
    </w:p>
    <w:p w:rsidR="007F10BB" w:rsidRDefault="007F10BB" w:rsidP="007F10B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5BEBC9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C8917A"/>
    <w:lvl w:ilvl="0">
      <w:start w:val="1"/>
      <w:numFmt w:val="decimal"/>
      <w:pStyle w:val="ListNumber"/>
      <w:lvlText w:val="%1."/>
      <w:lvlJc w:val="left"/>
      <w:pPr>
        <w:tabs>
          <w:tab w:val="num" w:pos="360"/>
        </w:tabs>
        <w:ind w:left="360" w:hanging="360"/>
      </w:pPr>
    </w:lvl>
  </w:abstractNum>
  <w:abstractNum w:abstractNumId="2" w15:restartNumberingAfterBreak="0">
    <w:nsid w:val="007E14B6"/>
    <w:multiLevelType w:val="hybridMultilevel"/>
    <w:tmpl w:val="5F281264"/>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3" w15:restartNumberingAfterBreak="0">
    <w:nsid w:val="360F2A0A"/>
    <w:multiLevelType w:val="hybridMultilevel"/>
    <w:tmpl w:val="584CBE58"/>
    <w:lvl w:ilvl="0" w:tplc="04090001">
      <w:start w:val="1"/>
      <w:numFmt w:val="bullet"/>
      <w:lvlText w:val=""/>
      <w:lvlJc w:val="left"/>
      <w:pPr>
        <w:ind w:left="791" w:hanging="360"/>
      </w:pPr>
      <w:rPr>
        <w:rFonts w:ascii="Symbol" w:hAnsi="Symbol" w:hint="default"/>
      </w:rPr>
    </w:lvl>
    <w:lvl w:ilvl="1" w:tplc="04090003">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451632C7"/>
    <w:multiLevelType w:val="hybridMultilevel"/>
    <w:tmpl w:val="5C941DBA"/>
    <w:lvl w:ilvl="0" w:tplc="04090001">
      <w:start w:val="1"/>
      <w:numFmt w:val="bullet"/>
      <w:lvlText w:val=""/>
      <w:lvlJc w:val="left"/>
      <w:pPr>
        <w:ind w:left="791" w:hanging="360"/>
      </w:pPr>
      <w:rPr>
        <w:rFonts w:ascii="Symbol" w:hAnsi="Symbol" w:hint="default"/>
      </w:rPr>
    </w:lvl>
    <w:lvl w:ilvl="1" w:tplc="08090001">
      <w:start w:val="1"/>
      <w:numFmt w:val="bullet"/>
      <w:lvlText w:val=""/>
      <w:lvlJc w:val="left"/>
      <w:pPr>
        <w:ind w:left="1511" w:hanging="360"/>
      </w:pPr>
      <w:rPr>
        <w:rFonts w:ascii="Symbol" w:hAnsi="Symbol"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469A3460"/>
    <w:multiLevelType w:val="hybridMultilevel"/>
    <w:tmpl w:val="4A4EEBCE"/>
    <w:lvl w:ilvl="0" w:tplc="00D40D5A">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3B0558"/>
    <w:multiLevelType w:val="hybridMultilevel"/>
    <w:tmpl w:val="678E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C6DE7"/>
    <w:multiLevelType w:val="hybridMultilevel"/>
    <w:tmpl w:val="EB98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DA"/>
    <w:rsid w:val="00042251"/>
    <w:rsid w:val="00055759"/>
    <w:rsid w:val="001235E2"/>
    <w:rsid w:val="00136193"/>
    <w:rsid w:val="001C20AA"/>
    <w:rsid w:val="002A0E44"/>
    <w:rsid w:val="002C32C2"/>
    <w:rsid w:val="002E1868"/>
    <w:rsid w:val="003125A8"/>
    <w:rsid w:val="003333A5"/>
    <w:rsid w:val="003349C0"/>
    <w:rsid w:val="00355F61"/>
    <w:rsid w:val="003A2DA9"/>
    <w:rsid w:val="00541227"/>
    <w:rsid w:val="005A0D42"/>
    <w:rsid w:val="005F3DBA"/>
    <w:rsid w:val="005F61A4"/>
    <w:rsid w:val="00665163"/>
    <w:rsid w:val="00714D59"/>
    <w:rsid w:val="007C55F1"/>
    <w:rsid w:val="007C7F05"/>
    <w:rsid w:val="007F10BB"/>
    <w:rsid w:val="0082412E"/>
    <w:rsid w:val="008961C5"/>
    <w:rsid w:val="008E49C5"/>
    <w:rsid w:val="009204D4"/>
    <w:rsid w:val="0099541A"/>
    <w:rsid w:val="009F02FE"/>
    <w:rsid w:val="00A05BA9"/>
    <w:rsid w:val="00AD0615"/>
    <w:rsid w:val="00B029FC"/>
    <w:rsid w:val="00B22ABC"/>
    <w:rsid w:val="00B94110"/>
    <w:rsid w:val="00B95EB0"/>
    <w:rsid w:val="00BE01E1"/>
    <w:rsid w:val="00C275C7"/>
    <w:rsid w:val="00CA5D41"/>
    <w:rsid w:val="00CB7699"/>
    <w:rsid w:val="00CC0ADE"/>
    <w:rsid w:val="00CC6402"/>
    <w:rsid w:val="00CF0508"/>
    <w:rsid w:val="00D07825"/>
    <w:rsid w:val="00D2753B"/>
    <w:rsid w:val="00D43434"/>
    <w:rsid w:val="00D52D83"/>
    <w:rsid w:val="00D613C8"/>
    <w:rsid w:val="00D63802"/>
    <w:rsid w:val="00DC4C4C"/>
    <w:rsid w:val="00DE4970"/>
    <w:rsid w:val="00E15852"/>
    <w:rsid w:val="00E47B5E"/>
    <w:rsid w:val="00EB0687"/>
    <w:rsid w:val="00EF7822"/>
    <w:rsid w:val="00FB48DA"/>
    <w:rsid w:val="00FC3818"/>
    <w:rsid w:val="00FE1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5AC4A-A0B2-4E1A-9C1B-0E3F5DA6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D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B48DA"/>
    <w:pPr>
      <w:jc w:val="center"/>
    </w:pPr>
    <w:rPr>
      <w:rFonts w:ascii="Univers (W1)" w:hAnsi="Univers (W1)"/>
      <w:b/>
      <w:bCs/>
      <w:lang w:eastAsia="en-US"/>
    </w:rPr>
  </w:style>
  <w:style w:type="character" w:customStyle="1" w:styleId="TitleChar">
    <w:name w:val="Title Char"/>
    <w:basedOn w:val="DefaultParagraphFont"/>
    <w:link w:val="Title"/>
    <w:uiPriority w:val="10"/>
    <w:rsid w:val="00FB48DA"/>
    <w:rPr>
      <w:rFonts w:ascii="Univers (W1)" w:eastAsia="Times New Roman" w:hAnsi="Univers (W1)" w:cs="Times New Roman"/>
      <w:b/>
      <w:bCs/>
      <w:sz w:val="24"/>
      <w:szCs w:val="24"/>
    </w:rPr>
  </w:style>
  <w:style w:type="paragraph" w:customStyle="1" w:styleId="Spacer">
    <w:name w:val="Spacer"/>
    <w:basedOn w:val="Normal"/>
    <w:qFormat/>
    <w:rsid w:val="00FB48DA"/>
    <w:rPr>
      <w:rFonts w:ascii="Arial" w:eastAsia="Calibri" w:hAnsi="Arial"/>
      <w:sz w:val="12"/>
      <w:szCs w:val="22"/>
      <w:lang w:eastAsia="en-US"/>
    </w:rPr>
  </w:style>
  <w:style w:type="paragraph" w:styleId="EndnoteText">
    <w:name w:val="endnote text"/>
    <w:basedOn w:val="Normal"/>
    <w:link w:val="EndnoteTextChar"/>
    <w:uiPriority w:val="99"/>
    <w:unhideWhenUsed/>
    <w:rsid w:val="00FB48DA"/>
    <w:pPr>
      <w:spacing w:after="240"/>
      <w:ind w:left="397" w:hanging="397"/>
    </w:pPr>
    <w:rPr>
      <w:rFonts w:ascii="Arial" w:eastAsia="Calibri" w:hAnsi="Arial"/>
      <w:sz w:val="20"/>
      <w:szCs w:val="20"/>
      <w:lang w:eastAsia="en-US"/>
    </w:rPr>
  </w:style>
  <w:style w:type="character" w:customStyle="1" w:styleId="EndnoteTextChar">
    <w:name w:val="Endnote Text Char"/>
    <w:basedOn w:val="DefaultParagraphFont"/>
    <w:link w:val="EndnoteText"/>
    <w:uiPriority w:val="99"/>
    <w:rsid w:val="00FB48DA"/>
    <w:rPr>
      <w:rFonts w:ascii="Arial" w:eastAsia="Calibri" w:hAnsi="Arial" w:cs="Times New Roman"/>
      <w:sz w:val="20"/>
      <w:szCs w:val="20"/>
    </w:rPr>
  </w:style>
  <w:style w:type="character" w:styleId="EndnoteReference">
    <w:name w:val="endnote reference"/>
    <w:uiPriority w:val="99"/>
    <w:unhideWhenUsed/>
    <w:rsid w:val="00FB48DA"/>
    <w:rPr>
      <w:vertAlign w:val="superscript"/>
    </w:rPr>
  </w:style>
  <w:style w:type="paragraph" w:styleId="ListBullet3">
    <w:name w:val="List Bullet 3"/>
    <w:basedOn w:val="Normal"/>
    <w:link w:val="ListBullet3Char"/>
    <w:autoRedefine/>
    <w:rsid w:val="00714D59"/>
    <w:pPr>
      <w:numPr>
        <w:numId w:val="1"/>
      </w:numPr>
      <w:spacing w:before="240" w:after="240"/>
      <w:ind w:left="885" w:hanging="426"/>
    </w:pPr>
    <w:rPr>
      <w:rFonts w:ascii="Arial" w:hAnsi="Arial"/>
      <w:sz w:val="22"/>
      <w:szCs w:val="22"/>
    </w:rPr>
  </w:style>
  <w:style w:type="character" w:customStyle="1" w:styleId="ListBullet3Char">
    <w:name w:val="List Bullet 3 Char"/>
    <w:link w:val="ListBullet3"/>
    <w:rsid w:val="00714D59"/>
    <w:rPr>
      <w:rFonts w:ascii="Arial" w:eastAsia="Times New Roman" w:hAnsi="Arial" w:cs="Times New Roman"/>
      <w:lang w:eastAsia="en-GB"/>
    </w:rPr>
  </w:style>
  <w:style w:type="paragraph" w:styleId="ListNumber">
    <w:name w:val="List Number"/>
    <w:basedOn w:val="Normal"/>
    <w:rsid w:val="00FB48DA"/>
    <w:pPr>
      <w:numPr>
        <w:numId w:val="2"/>
      </w:numPr>
      <w:spacing w:after="240"/>
    </w:pPr>
    <w:rPr>
      <w:rFonts w:ascii="Arial" w:hAnsi="Arial"/>
    </w:rPr>
  </w:style>
  <w:style w:type="character" w:styleId="Hyperlink">
    <w:name w:val="Hyperlink"/>
    <w:aliases w:val="CSHR Hyperlink"/>
    <w:uiPriority w:val="99"/>
    <w:unhideWhenUsed/>
    <w:qFormat/>
    <w:rsid w:val="007F10BB"/>
    <w:rPr>
      <w:rFonts w:ascii="Arial" w:hAnsi="Arial"/>
      <w:color w:val="AF292E"/>
      <w:sz w:val="24"/>
      <w:u w:val="single"/>
    </w:rPr>
  </w:style>
  <w:style w:type="paragraph" w:styleId="FootnoteText">
    <w:name w:val="footnote text"/>
    <w:basedOn w:val="Normal"/>
    <w:link w:val="FootnoteTextChar"/>
    <w:rsid w:val="007F10BB"/>
    <w:pPr>
      <w:spacing w:after="60"/>
    </w:pPr>
    <w:rPr>
      <w:rFonts w:ascii="Arial" w:hAnsi="Arial"/>
      <w:sz w:val="20"/>
      <w:szCs w:val="20"/>
    </w:rPr>
  </w:style>
  <w:style w:type="character" w:customStyle="1" w:styleId="FootnoteTextChar">
    <w:name w:val="Footnote Text Char"/>
    <w:basedOn w:val="DefaultParagraphFont"/>
    <w:link w:val="FootnoteText"/>
    <w:rsid w:val="007F10BB"/>
    <w:rPr>
      <w:rFonts w:ascii="Arial" w:eastAsia="Times New Roman" w:hAnsi="Arial" w:cs="Times New Roman"/>
      <w:sz w:val="20"/>
      <w:szCs w:val="20"/>
      <w:lang w:eastAsia="en-GB"/>
    </w:rPr>
  </w:style>
  <w:style w:type="character" w:styleId="FootnoteReference">
    <w:name w:val="footnote reference"/>
    <w:rsid w:val="007F10BB"/>
    <w:rPr>
      <w:vertAlign w:val="superscript"/>
    </w:rPr>
  </w:style>
  <w:style w:type="paragraph" w:styleId="CommentText">
    <w:name w:val="annotation text"/>
    <w:basedOn w:val="Normal"/>
    <w:link w:val="CommentTextChar"/>
    <w:rsid w:val="003333A5"/>
    <w:rPr>
      <w:rFonts w:ascii="Arial" w:hAnsi="Arial"/>
      <w:sz w:val="20"/>
      <w:szCs w:val="20"/>
      <w:lang w:eastAsia="en-US"/>
    </w:rPr>
  </w:style>
  <w:style w:type="character" w:customStyle="1" w:styleId="CommentTextChar">
    <w:name w:val="Comment Text Char"/>
    <w:basedOn w:val="DefaultParagraphFont"/>
    <w:link w:val="CommentText"/>
    <w:rsid w:val="003333A5"/>
    <w:rPr>
      <w:rFonts w:ascii="Arial" w:eastAsia="Times New Roman" w:hAnsi="Arial" w:cs="Times New Roman"/>
      <w:sz w:val="20"/>
      <w:szCs w:val="20"/>
    </w:rPr>
  </w:style>
  <w:style w:type="character" w:styleId="CommentReference">
    <w:name w:val="annotation reference"/>
    <w:semiHidden/>
    <w:rsid w:val="00355F61"/>
    <w:rPr>
      <w:sz w:val="16"/>
      <w:szCs w:val="16"/>
    </w:rPr>
  </w:style>
  <w:style w:type="paragraph" w:styleId="BalloonText">
    <w:name w:val="Balloon Text"/>
    <w:basedOn w:val="Normal"/>
    <w:link w:val="BalloonTextChar"/>
    <w:uiPriority w:val="99"/>
    <w:semiHidden/>
    <w:unhideWhenUsed/>
    <w:rsid w:val="00355F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F61"/>
    <w:rPr>
      <w:rFonts w:ascii="Segoe UI" w:eastAsia="Times New Roman" w:hAnsi="Segoe UI" w:cs="Segoe UI"/>
      <w:sz w:val="18"/>
      <w:szCs w:val="18"/>
      <w:lang w:eastAsia="en-GB"/>
    </w:rPr>
  </w:style>
  <w:style w:type="paragraph" w:styleId="ListParagraph">
    <w:name w:val="List Paragraph"/>
    <w:basedOn w:val="Normal"/>
    <w:uiPriority w:val="34"/>
    <w:qFormat/>
    <w:rsid w:val="00BE01E1"/>
    <w:pPr>
      <w:ind w:left="720"/>
      <w:contextualSpacing/>
    </w:pPr>
  </w:style>
  <w:style w:type="paragraph" w:customStyle="1" w:styleId="text">
    <w:name w:val="text"/>
    <w:qFormat/>
    <w:rsid w:val="00EF7822"/>
    <w:pPr>
      <w:snapToGrid w:val="0"/>
      <w:spacing w:after="240" w:line="240" w:lineRule="auto"/>
    </w:pPr>
    <w:rPr>
      <w:rFonts w:ascii="Arial" w:eastAsia="Times New Roman" w:hAnsi="Arial" w:cs="Times New Roman"/>
      <w:szCs w:val="20"/>
    </w:rPr>
  </w:style>
  <w:style w:type="paragraph" w:customStyle="1" w:styleId="numbered">
    <w:name w:val="numbered"/>
    <w:basedOn w:val="text"/>
    <w:rsid w:val="00EF7822"/>
    <w:pPr>
      <w:numPr>
        <w:numId w:val="5"/>
      </w:numPr>
    </w:pPr>
  </w:style>
  <w:style w:type="paragraph" w:customStyle="1" w:styleId="Default">
    <w:name w:val="Default"/>
    <w:rsid w:val="0054122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ranet.noms.gsi.gov.uk/__data/assets/word_doc/0010/665452/M15_How_to_-_manage_pregnancy_related_sickness_abse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noms.gsi.gov.uk/__data/assets/word_doc/0005/665447/M10_How_to_-_Manage_a_phased_return_to_work.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noms.gsi.gov.uk/__data/assets/word_doc/0004/665455/M18-How-to-consider-reasonable-adjustments.doc" TargetMode="External"/><Relationship Id="rId5" Type="http://schemas.openxmlformats.org/officeDocument/2006/relationships/webSettings" Target="webSettings.xml"/><Relationship Id="rId15" Type="http://schemas.openxmlformats.org/officeDocument/2006/relationships/hyperlink" Target="https://intranet.noms.gsi.gov.uk/support/hr/wellbeing-and-attendance" TargetMode="External"/><Relationship Id="rId10" Type="http://schemas.openxmlformats.org/officeDocument/2006/relationships/hyperlink" Target="https://myservices.justice.gov.uk/noms/guidance/hr/staff-sickness/unsatisfactory-attendance-exclusions-and-Managers-Discretion" TargetMode="External"/><Relationship Id="rId4" Type="http://schemas.openxmlformats.org/officeDocument/2006/relationships/settings" Target="settings.xml"/><Relationship Id="rId9" Type="http://schemas.openxmlformats.org/officeDocument/2006/relationships/hyperlink" Target="https://intranet.noms.gsi.gov.uk/support/hr/wellbeing-and-attendance/Attendance" TargetMode="External"/><Relationship Id="rId14" Type="http://schemas.openxmlformats.org/officeDocument/2006/relationships/hyperlink" Target="https://myservices.justice.gov.uk/noms/guidance/hr/staff-sickness/unsatisfactory-attendance-exclusions-and-Managers-Discre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ns.gov.uk/ons/rel/lmac/sickness-absence-in-the-labour-market/2014/rpt---sickness-absence-in-the-labour-mark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DE7C1-DC57-48D6-BD6E-DCF8A6C1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Jim [NOMS]</dc:creator>
  <cp:keywords/>
  <dc:description/>
  <cp:lastModifiedBy>Sarah Friday</cp:lastModifiedBy>
  <cp:revision>3</cp:revision>
  <cp:lastPrinted>2017-12-01T09:41:00Z</cp:lastPrinted>
  <dcterms:created xsi:type="dcterms:W3CDTF">2018-04-17T10:29:00Z</dcterms:created>
  <dcterms:modified xsi:type="dcterms:W3CDTF">2018-04-17T10:32:00Z</dcterms:modified>
</cp:coreProperties>
</file>